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70005" w14:textId="548B4811" w:rsidR="002E0C88" w:rsidRPr="00E7767B" w:rsidRDefault="002E0C88" w:rsidP="008B1D83">
      <w:pPr>
        <w:jc w:val="center"/>
        <w:rPr>
          <w:b/>
          <w:lang w:val="fr-CA"/>
        </w:rPr>
      </w:pPr>
      <w:r w:rsidRPr="00E7767B">
        <w:rPr>
          <w:b/>
          <w:lang w:val="fr-CA"/>
        </w:rPr>
        <w:t>Code de conduite et procédures disciplinaires («</w:t>
      </w:r>
      <w:r w:rsidR="00F563FA">
        <w:rPr>
          <w:b/>
          <w:lang w:val="fr-CA"/>
        </w:rPr>
        <w:t> </w:t>
      </w:r>
      <w:r w:rsidR="00EB3F2D" w:rsidRPr="00E7767B">
        <w:rPr>
          <w:b/>
          <w:lang w:val="fr-CA"/>
        </w:rPr>
        <w:t>C</w:t>
      </w:r>
      <w:r w:rsidRPr="00E7767B">
        <w:rPr>
          <w:b/>
          <w:lang w:val="fr-CA"/>
        </w:rPr>
        <w:t>ode</w:t>
      </w:r>
      <w:r w:rsidR="00F563FA">
        <w:rPr>
          <w:b/>
          <w:lang w:val="fr-CA"/>
        </w:rPr>
        <w:t> </w:t>
      </w:r>
      <w:r w:rsidRPr="00E7767B">
        <w:rPr>
          <w:b/>
          <w:lang w:val="fr-CA"/>
        </w:rPr>
        <w:t xml:space="preserve">») de l’Association </w:t>
      </w:r>
      <w:r w:rsidR="006305E9" w:rsidRPr="00E7767B">
        <w:rPr>
          <w:b/>
          <w:lang w:val="fr-CA"/>
        </w:rPr>
        <w:t>c</w:t>
      </w:r>
      <w:r w:rsidRPr="00E7767B">
        <w:rPr>
          <w:b/>
          <w:lang w:val="fr-CA"/>
        </w:rPr>
        <w:t>anadienne de la recherche théâtrale («</w:t>
      </w:r>
      <w:r w:rsidR="00F563FA">
        <w:rPr>
          <w:b/>
          <w:lang w:val="fr-CA"/>
        </w:rPr>
        <w:t> </w:t>
      </w:r>
      <w:r w:rsidRPr="00E7767B">
        <w:rPr>
          <w:b/>
          <w:lang w:val="fr-CA"/>
        </w:rPr>
        <w:t>ACRT</w:t>
      </w:r>
      <w:r w:rsidR="00F563FA">
        <w:rPr>
          <w:b/>
          <w:lang w:val="fr-CA"/>
        </w:rPr>
        <w:t> </w:t>
      </w:r>
      <w:r w:rsidRPr="00E7767B">
        <w:rPr>
          <w:b/>
          <w:lang w:val="fr-CA"/>
        </w:rPr>
        <w:t xml:space="preserve">»)/Canadian Association for </w:t>
      </w:r>
      <w:proofErr w:type="spellStart"/>
      <w:r w:rsidRPr="00E7767B">
        <w:rPr>
          <w:b/>
          <w:lang w:val="fr-CA"/>
        </w:rPr>
        <w:t>Theatr</w:t>
      </w:r>
      <w:r w:rsidR="00FD4324">
        <w:rPr>
          <w:b/>
          <w:lang w:val="fr-CA"/>
        </w:rPr>
        <w:t>e</w:t>
      </w:r>
      <w:proofErr w:type="spellEnd"/>
      <w:r w:rsidRPr="00E7767B">
        <w:rPr>
          <w:b/>
          <w:lang w:val="fr-CA"/>
        </w:rPr>
        <w:t xml:space="preserve"> </w:t>
      </w:r>
      <w:proofErr w:type="spellStart"/>
      <w:r w:rsidRPr="00E7767B">
        <w:rPr>
          <w:b/>
          <w:lang w:val="fr-CA"/>
        </w:rPr>
        <w:t>Research</w:t>
      </w:r>
      <w:proofErr w:type="spellEnd"/>
    </w:p>
    <w:p w14:paraId="1AFD1FC1" w14:textId="77777777" w:rsidR="002E0C88" w:rsidRPr="00E7767B" w:rsidRDefault="002E0C88" w:rsidP="008B1D83">
      <w:pPr>
        <w:jc w:val="center"/>
        <w:rPr>
          <w:b/>
          <w:lang w:val="fr-CA"/>
        </w:rPr>
      </w:pPr>
    </w:p>
    <w:p w14:paraId="63726DAB" w14:textId="4849B13E" w:rsidR="002E0C88" w:rsidRPr="00E7767B" w:rsidRDefault="002E0C88" w:rsidP="008B1D83">
      <w:pPr>
        <w:jc w:val="center"/>
        <w:rPr>
          <w:b/>
          <w:lang w:val="fr-CA"/>
        </w:rPr>
      </w:pPr>
      <w:r w:rsidRPr="00E7767B">
        <w:rPr>
          <w:b/>
          <w:lang w:val="fr-CA"/>
        </w:rPr>
        <w:t>Date de son approbation par le conseil d’administration : 2 juin 2019</w:t>
      </w:r>
    </w:p>
    <w:p w14:paraId="1A55BBB4" w14:textId="77777777" w:rsidR="002E0C88" w:rsidRPr="00E7767B" w:rsidRDefault="002E0C88" w:rsidP="008B1D83">
      <w:pPr>
        <w:jc w:val="center"/>
        <w:rPr>
          <w:b/>
          <w:lang w:val="fr-CA"/>
        </w:rPr>
      </w:pPr>
    </w:p>
    <w:p w14:paraId="53A2F51F" w14:textId="77777777" w:rsidR="003B5F56" w:rsidRPr="00E7767B" w:rsidRDefault="003B5F56">
      <w:pPr>
        <w:rPr>
          <w:lang w:val="fr-CA"/>
        </w:rPr>
      </w:pPr>
    </w:p>
    <w:p w14:paraId="2DA28C8A" w14:textId="2590E393" w:rsidR="00B975F3" w:rsidRPr="00E7767B" w:rsidRDefault="000E0EAA" w:rsidP="00B975F3">
      <w:pPr>
        <w:pStyle w:val="TMGenL1"/>
        <w:rPr>
          <w:b/>
          <w:lang w:val="fr-CA"/>
        </w:rPr>
      </w:pPr>
      <w:r w:rsidRPr="00E7767B">
        <w:rPr>
          <w:b/>
          <w:lang w:val="fr-CA"/>
        </w:rPr>
        <w:t>Interprétation</w:t>
      </w:r>
    </w:p>
    <w:p w14:paraId="4FF661A6" w14:textId="77777777" w:rsidR="00B975F3" w:rsidRPr="00E7767B" w:rsidRDefault="00B975F3" w:rsidP="00B975F3">
      <w:pPr>
        <w:pStyle w:val="TMGenL1"/>
        <w:numPr>
          <w:ilvl w:val="0"/>
          <w:numId w:val="0"/>
        </w:numPr>
        <w:rPr>
          <w:b/>
          <w:lang w:val="fr-CA"/>
        </w:rPr>
      </w:pPr>
    </w:p>
    <w:p w14:paraId="4E11DD17" w14:textId="2D3E9931" w:rsidR="002E0C88" w:rsidRPr="00E7767B" w:rsidRDefault="002E0C88" w:rsidP="00B975F3">
      <w:pPr>
        <w:pStyle w:val="TMGenL1"/>
        <w:numPr>
          <w:ilvl w:val="0"/>
          <w:numId w:val="0"/>
        </w:numPr>
        <w:rPr>
          <w:lang w:val="fr-CA"/>
        </w:rPr>
      </w:pPr>
      <w:r w:rsidRPr="00E7767B">
        <w:rPr>
          <w:lang w:val="fr-CA"/>
        </w:rPr>
        <w:t xml:space="preserve">Sauf indication contraire, le Code </w:t>
      </w:r>
      <w:r w:rsidR="000E0EAA" w:rsidRPr="00E7767B">
        <w:rPr>
          <w:lang w:val="fr-CA"/>
        </w:rPr>
        <w:t>est interprété selon les dispositions suivantes</w:t>
      </w:r>
      <w:r w:rsidR="00F563FA">
        <w:rPr>
          <w:lang w:val="fr-CA"/>
        </w:rPr>
        <w:t> </w:t>
      </w:r>
      <w:r w:rsidRPr="00E7767B">
        <w:rPr>
          <w:lang w:val="fr-CA"/>
        </w:rPr>
        <w:t>:</w:t>
      </w:r>
    </w:p>
    <w:p w14:paraId="1F580DC5" w14:textId="77777777" w:rsidR="00B975F3" w:rsidRPr="00E7767B" w:rsidRDefault="00B975F3" w:rsidP="00B975F3">
      <w:pPr>
        <w:pStyle w:val="TMGenL3"/>
        <w:numPr>
          <w:ilvl w:val="0"/>
          <w:numId w:val="0"/>
        </w:numPr>
        <w:rPr>
          <w:b/>
          <w:lang w:val="fr-CA"/>
        </w:rPr>
      </w:pPr>
    </w:p>
    <w:p w14:paraId="17CEFCA7" w14:textId="20220811" w:rsidR="000E0EAA" w:rsidRPr="00E7767B" w:rsidRDefault="000E0EAA" w:rsidP="00B975F3">
      <w:pPr>
        <w:pStyle w:val="TMGenL2"/>
        <w:rPr>
          <w:lang w:val="fr-CA"/>
        </w:rPr>
      </w:pPr>
      <w:r w:rsidRPr="00E7767B">
        <w:rPr>
          <w:lang w:val="fr-CA"/>
        </w:rPr>
        <w:t>Les mots écrits au singulier comprennent le pluriel et vice versa, les mots portant la marque d’un genre incluent tous les genres</w:t>
      </w:r>
      <w:r w:rsidR="00F563FA">
        <w:rPr>
          <w:lang w:val="fr-CA"/>
        </w:rPr>
        <w:t> </w:t>
      </w:r>
      <w:r w:rsidRPr="00E7767B">
        <w:rPr>
          <w:lang w:val="fr-CA"/>
        </w:rPr>
        <w:t xml:space="preserve">;   </w:t>
      </w:r>
    </w:p>
    <w:p w14:paraId="2E4A60F6" w14:textId="77777777" w:rsidR="000E0EAA" w:rsidRPr="00E7767B" w:rsidRDefault="000E0EAA" w:rsidP="000E0EAA">
      <w:pPr>
        <w:pStyle w:val="TMGenL2"/>
        <w:numPr>
          <w:ilvl w:val="0"/>
          <w:numId w:val="0"/>
        </w:numPr>
        <w:ind w:left="1440"/>
        <w:rPr>
          <w:lang w:val="fr-CA"/>
        </w:rPr>
      </w:pPr>
    </w:p>
    <w:p w14:paraId="63716C22" w14:textId="615D9008" w:rsidR="000E0EAA" w:rsidRPr="00E7767B" w:rsidRDefault="000E0EAA" w:rsidP="00B975F3">
      <w:pPr>
        <w:pStyle w:val="TMGenL2"/>
        <w:rPr>
          <w:lang w:val="fr-CA"/>
        </w:rPr>
      </w:pPr>
      <w:r w:rsidRPr="00E7767B">
        <w:rPr>
          <w:lang w:val="fr-CA"/>
        </w:rPr>
        <w:t>Toute référence à une section ou à une sous-section réfère à la section ou</w:t>
      </w:r>
      <w:r w:rsidR="00560656">
        <w:rPr>
          <w:lang w:val="fr-CA"/>
        </w:rPr>
        <w:t xml:space="preserve"> à</w:t>
      </w:r>
      <w:r w:rsidRPr="00E7767B">
        <w:rPr>
          <w:lang w:val="fr-CA"/>
        </w:rPr>
        <w:t xml:space="preserve"> la sous-section du présent Code. </w:t>
      </w:r>
    </w:p>
    <w:p w14:paraId="10DB078C" w14:textId="1CD3BA7C" w:rsidR="00B975F3" w:rsidRPr="00E7767B" w:rsidRDefault="000E0EAA" w:rsidP="000E0EAA">
      <w:pPr>
        <w:pStyle w:val="TMGenL2"/>
        <w:numPr>
          <w:ilvl w:val="0"/>
          <w:numId w:val="0"/>
        </w:numPr>
        <w:ind w:left="1440"/>
        <w:rPr>
          <w:lang w:val="fr-CA"/>
        </w:rPr>
      </w:pPr>
      <w:r w:rsidRPr="00E7767B">
        <w:rPr>
          <w:lang w:val="fr-CA"/>
        </w:rPr>
        <w:t xml:space="preserve"> </w:t>
      </w:r>
    </w:p>
    <w:p w14:paraId="20F6D6C7" w14:textId="77777777" w:rsidR="00B975F3" w:rsidRPr="00E7767B" w:rsidRDefault="00B975F3" w:rsidP="00B975F3">
      <w:pPr>
        <w:pStyle w:val="TMGenL2"/>
        <w:numPr>
          <w:ilvl w:val="0"/>
          <w:numId w:val="0"/>
        </w:numPr>
        <w:ind w:left="1440"/>
        <w:rPr>
          <w:lang w:val="fr-CA"/>
        </w:rPr>
      </w:pPr>
    </w:p>
    <w:p w14:paraId="389A4737" w14:textId="59F0A69D" w:rsidR="00603FD3" w:rsidRPr="00E7767B" w:rsidRDefault="000E0EAA" w:rsidP="00603FD3">
      <w:pPr>
        <w:pStyle w:val="TMGenL1"/>
        <w:rPr>
          <w:b/>
          <w:lang w:val="fr-CA"/>
        </w:rPr>
      </w:pPr>
      <w:r w:rsidRPr="00E7767B">
        <w:rPr>
          <w:b/>
          <w:lang w:val="fr-CA"/>
        </w:rPr>
        <w:t>Définitions</w:t>
      </w:r>
    </w:p>
    <w:p w14:paraId="11AAE84B" w14:textId="77777777" w:rsidR="00603FD3" w:rsidRPr="00E7767B" w:rsidRDefault="00603FD3" w:rsidP="00603FD3">
      <w:pPr>
        <w:pStyle w:val="TMGenL1"/>
        <w:numPr>
          <w:ilvl w:val="0"/>
          <w:numId w:val="0"/>
        </w:numPr>
        <w:ind w:left="720"/>
        <w:rPr>
          <w:b/>
          <w:lang w:val="fr-CA"/>
        </w:rPr>
      </w:pPr>
    </w:p>
    <w:p w14:paraId="649E3A85" w14:textId="324D5F16" w:rsidR="00603FD3" w:rsidRPr="00E7767B" w:rsidRDefault="000E0EAA" w:rsidP="00603FD3">
      <w:pPr>
        <w:rPr>
          <w:lang w:val="fr-CA"/>
        </w:rPr>
      </w:pPr>
      <w:r w:rsidRPr="00E7767B">
        <w:rPr>
          <w:lang w:val="fr-CA"/>
        </w:rPr>
        <w:t xml:space="preserve">Pour l’application du présent Code : </w:t>
      </w:r>
    </w:p>
    <w:p w14:paraId="2537DFC7" w14:textId="77777777" w:rsidR="00603FD3" w:rsidRPr="00E7767B" w:rsidRDefault="00603FD3" w:rsidP="00603FD3">
      <w:pPr>
        <w:pStyle w:val="TMGenL1"/>
        <w:numPr>
          <w:ilvl w:val="0"/>
          <w:numId w:val="0"/>
        </w:numPr>
        <w:ind w:left="720"/>
        <w:rPr>
          <w:b/>
          <w:lang w:val="fr-CA"/>
        </w:rPr>
      </w:pPr>
    </w:p>
    <w:p w14:paraId="17ED6F3B" w14:textId="50DE4402" w:rsidR="006776D2" w:rsidRPr="00E7767B" w:rsidRDefault="006776D2" w:rsidP="006776D2">
      <w:pPr>
        <w:pStyle w:val="TMGenL2"/>
        <w:rPr>
          <w:b/>
          <w:lang w:val="fr-CA"/>
        </w:rPr>
      </w:pPr>
      <w:r w:rsidRPr="00E7767B">
        <w:rPr>
          <w:lang w:val="fr-CA"/>
        </w:rPr>
        <w:t>«</w:t>
      </w:r>
      <w:r w:rsidR="00F563FA">
        <w:rPr>
          <w:lang w:val="fr-CA"/>
        </w:rPr>
        <w:t> </w:t>
      </w:r>
      <w:r w:rsidRPr="00E7767B">
        <w:rPr>
          <w:b/>
          <w:bCs/>
          <w:lang w:val="fr-CA"/>
        </w:rPr>
        <w:t>ACRT</w:t>
      </w:r>
      <w:r w:rsidR="00F563FA">
        <w:rPr>
          <w:lang w:val="fr-CA"/>
        </w:rPr>
        <w:t> </w:t>
      </w:r>
      <w:r w:rsidRPr="00E7767B">
        <w:rPr>
          <w:lang w:val="fr-CA"/>
        </w:rPr>
        <w:t xml:space="preserve">» signifie l’Association </w:t>
      </w:r>
      <w:r w:rsidR="006305E9" w:rsidRPr="00E7767B">
        <w:rPr>
          <w:lang w:val="fr-CA"/>
        </w:rPr>
        <w:t>c</w:t>
      </w:r>
      <w:r w:rsidRPr="00E7767B">
        <w:rPr>
          <w:lang w:val="fr-CA"/>
        </w:rPr>
        <w:t xml:space="preserve">anadienne de la recherche théâtrale/Canadian Association for </w:t>
      </w:r>
      <w:proofErr w:type="spellStart"/>
      <w:r w:rsidRPr="00E7767B">
        <w:rPr>
          <w:lang w:val="fr-CA"/>
        </w:rPr>
        <w:t>Theatre</w:t>
      </w:r>
      <w:proofErr w:type="spellEnd"/>
      <w:r w:rsidRPr="00E7767B">
        <w:rPr>
          <w:lang w:val="fr-CA"/>
        </w:rPr>
        <w:t xml:space="preserve"> </w:t>
      </w:r>
      <w:proofErr w:type="spellStart"/>
      <w:r w:rsidRPr="00E7767B">
        <w:rPr>
          <w:lang w:val="fr-CA"/>
        </w:rPr>
        <w:t>Research</w:t>
      </w:r>
      <w:proofErr w:type="spellEnd"/>
      <w:r w:rsidRPr="00E7767B">
        <w:rPr>
          <w:lang w:val="fr-CA"/>
        </w:rPr>
        <w:t xml:space="preserve">, tel que susmentionné ; </w:t>
      </w:r>
    </w:p>
    <w:p w14:paraId="1142C21C" w14:textId="77777777" w:rsidR="006776D2" w:rsidRPr="00E7767B" w:rsidRDefault="006776D2" w:rsidP="006776D2">
      <w:pPr>
        <w:pStyle w:val="TMGenL2"/>
        <w:numPr>
          <w:ilvl w:val="0"/>
          <w:numId w:val="0"/>
        </w:numPr>
        <w:ind w:left="1440"/>
        <w:rPr>
          <w:bCs/>
          <w:lang w:val="fr-CA"/>
        </w:rPr>
      </w:pPr>
      <w:r w:rsidRPr="00E7767B">
        <w:rPr>
          <w:bCs/>
          <w:lang w:val="fr-CA"/>
        </w:rPr>
        <w:t xml:space="preserve"> </w:t>
      </w:r>
    </w:p>
    <w:p w14:paraId="497D58CA" w14:textId="09FCB18E" w:rsidR="006776D2" w:rsidRPr="00E7767B" w:rsidRDefault="006776D2" w:rsidP="006776D2">
      <w:pPr>
        <w:pStyle w:val="TMGenL2"/>
        <w:rPr>
          <w:bCs/>
          <w:lang w:val="fr-CA"/>
        </w:rPr>
      </w:pPr>
      <w:r w:rsidRPr="00E7767B">
        <w:rPr>
          <w:bCs/>
          <w:lang w:val="fr-CA"/>
        </w:rPr>
        <w:t>«</w:t>
      </w:r>
      <w:r w:rsidR="00F563FA">
        <w:rPr>
          <w:b/>
          <w:lang w:val="fr-CA"/>
        </w:rPr>
        <w:t> </w:t>
      </w:r>
      <w:proofErr w:type="gramStart"/>
      <w:r w:rsidRPr="00E7767B">
        <w:rPr>
          <w:b/>
          <w:lang w:val="fr-CA"/>
        </w:rPr>
        <w:t>activités</w:t>
      </w:r>
      <w:proofErr w:type="gramEnd"/>
      <w:r w:rsidRPr="00E7767B">
        <w:rPr>
          <w:b/>
          <w:lang w:val="fr-CA"/>
        </w:rPr>
        <w:t xml:space="preserve"> liées à l’ACRT</w:t>
      </w:r>
      <w:r w:rsidR="00F563FA">
        <w:rPr>
          <w:b/>
          <w:lang w:val="fr-CA"/>
        </w:rPr>
        <w:t> </w:t>
      </w:r>
      <w:r w:rsidRPr="00E7767B">
        <w:rPr>
          <w:bCs/>
          <w:lang w:val="fr-CA"/>
        </w:rPr>
        <w:t>»</w:t>
      </w:r>
      <w:r w:rsidRPr="00E7767B">
        <w:rPr>
          <w:b/>
          <w:lang w:val="fr-CA"/>
        </w:rPr>
        <w:t xml:space="preserve"> </w:t>
      </w:r>
      <w:r w:rsidRPr="00E7767B">
        <w:rPr>
          <w:bCs/>
          <w:lang w:val="fr-CA"/>
        </w:rPr>
        <w:t>signifie toute activité liée à l’ACRT ou sanctionnée par elle, incluant les conférences, les forums en ligne, les événements et les communications électroniques</w:t>
      </w:r>
      <w:r w:rsidR="00F563FA">
        <w:rPr>
          <w:bCs/>
          <w:lang w:val="fr-CA"/>
        </w:rPr>
        <w:t> </w:t>
      </w:r>
      <w:r w:rsidRPr="00E7767B">
        <w:rPr>
          <w:bCs/>
          <w:lang w:val="fr-CA"/>
        </w:rPr>
        <w:t>;</w:t>
      </w:r>
    </w:p>
    <w:p w14:paraId="6B605F88" w14:textId="77777777" w:rsidR="006776D2" w:rsidRPr="00E7767B" w:rsidRDefault="006776D2" w:rsidP="006776D2">
      <w:pPr>
        <w:pStyle w:val="TMGenL2"/>
        <w:numPr>
          <w:ilvl w:val="0"/>
          <w:numId w:val="0"/>
        </w:numPr>
        <w:rPr>
          <w:bCs/>
          <w:lang w:val="fr-CA"/>
        </w:rPr>
      </w:pPr>
    </w:p>
    <w:p w14:paraId="3010553D" w14:textId="749E17ED" w:rsidR="006776D2" w:rsidRPr="00E7767B" w:rsidRDefault="006776D2" w:rsidP="006776D2">
      <w:pPr>
        <w:pStyle w:val="TMGenL2"/>
        <w:rPr>
          <w:b/>
          <w:lang w:val="fr-CA"/>
        </w:rPr>
      </w:pPr>
      <w:r w:rsidRPr="00E7767B">
        <w:rPr>
          <w:lang w:val="fr-CA"/>
        </w:rPr>
        <w:t>«</w:t>
      </w:r>
      <w:r w:rsidR="00F563FA">
        <w:rPr>
          <w:lang w:val="fr-CA"/>
        </w:rPr>
        <w:t> </w:t>
      </w:r>
      <w:proofErr w:type="gramStart"/>
      <w:r w:rsidRPr="00E7767B">
        <w:rPr>
          <w:b/>
          <w:bCs/>
          <w:lang w:val="fr-CA"/>
        </w:rPr>
        <w:t>administrateurs</w:t>
      </w:r>
      <w:proofErr w:type="gramEnd"/>
      <w:r w:rsidR="00F563FA">
        <w:rPr>
          <w:lang w:val="fr-CA"/>
        </w:rPr>
        <w:t> </w:t>
      </w:r>
      <w:r w:rsidRPr="00E7767B">
        <w:rPr>
          <w:lang w:val="fr-CA"/>
        </w:rPr>
        <w:t>» désigne les particuliers occupant les fonctions d’administrateur de l’ACRT à un moment donné, et «</w:t>
      </w:r>
      <w:r w:rsidR="00F563FA">
        <w:rPr>
          <w:lang w:val="fr-CA"/>
        </w:rPr>
        <w:t> </w:t>
      </w:r>
      <w:r w:rsidRPr="00E7767B">
        <w:rPr>
          <w:b/>
          <w:bCs/>
          <w:lang w:val="fr-CA"/>
        </w:rPr>
        <w:t>administrateur</w:t>
      </w:r>
      <w:r w:rsidR="00F563FA">
        <w:rPr>
          <w:lang w:val="fr-CA"/>
        </w:rPr>
        <w:t> </w:t>
      </w:r>
      <w:r w:rsidRPr="00E7767B">
        <w:rPr>
          <w:lang w:val="fr-CA"/>
        </w:rPr>
        <w:t>» désigne l’un d’eux</w:t>
      </w:r>
      <w:r w:rsidR="00F563FA">
        <w:rPr>
          <w:lang w:val="fr-CA"/>
        </w:rPr>
        <w:t> </w:t>
      </w:r>
      <w:r w:rsidRPr="00E7767B">
        <w:rPr>
          <w:lang w:val="fr-CA"/>
        </w:rPr>
        <w:t xml:space="preserve">; </w:t>
      </w:r>
    </w:p>
    <w:p w14:paraId="632E5775" w14:textId="77777777" w:rsidR="006776D2" w:rsidRPr="00E7767B" w:rsidRDefault="006776D2" w:rsidP="006776D2">
      <w:pPr>
        <w:pStyle w:val="TMGenL2"/>
        <w:numPr>
          <w:ilvl w:val="0"/>
          <w:numId w:val="0"/>
        </w:numPr>
        <w:ind w:left="1440"/>
        <w:rPr>
          <w:bCs/>
          <w:lang w:val="fr-CA"/>
        </w:rPr>
      </w:pPr>
    </w:p>
    <w:p w14:paraId="05D29A08" w14:textId="1B57ED98" w:rsidR="00B77B57" w:rsidRPr="00E7767B" w:rsidRDefault="006776D2" w:rsidP="006776D2">
      <w:pPr>
        <w:pStyle w:val="TMGenL2"/>
        <w:rPr>
          <w:b/>
          <w:lang w:val="fr-CA"/>
        </w:rPr>
      </w:pPr>
      <w:r w:rsidRPr="00E7767B">
        <w:rPr>
          <w:bCs/>
          <w:lang w:val="fr-CA"/>
        </w:rPr>
        <w:t xml:space="preserve"> </w:t>
      </w:r>
      <w:r w:rsidR="000E0EAA" w:rsidRPr="00E7767B">
        <w:rPr>
          <w:bCs/>
          <w:lang w:val="fr-CA"/>
        </w:rPr>
        <w:t>«</w:t>
      </w:r>
      <w:r w:rsidR="00F563FA">
        <w:rPr>
          <w:b/>
          <w:lang w:val="fr-CA"/>
        </w:rPr>
        <w:t> </w:t>
      </w:r>
      <w:proofErr w:type="gramStart"/>
      <w:r w:rsidRPr="00E7767B">
        <w:rPr>
          <w:b/>
          <w:lang w:val="fr-CA"/>
        </w:rPr>
        <w:t>a</w:t>
      </w:r>
      <w:r w:rsidR="000E0EAA" w:rsidRPr="00E7767B">
        <w:rPr>
          <w:b/>
          <w:lang w:val="fr-CA"/>
        </w:rPr>
        <w:t>ssociés</w:t>
      </w:r>
      <w:proofErr w:type="gramEnd"/>
      <w:r w:rsidR="00F563FA">
        <w:rPr>
          <w:b/>
          <w:lang w:val="fr-CA"/>
        </w:rPr>
        <w:t> </w:t>
      </w:r>
      <w:r w:rsidR="000E0EAA" w:rsidRPr="00E7767B">
        <w:rPr>
          <w:bCs/>
          <w:lang w:val="fr-CA"/>
        </w:rPr>
        <w:t xml:space="preserve">» désigne </w:t>
      </w:r>
      <w:r w:rsidR="00D47C6A" w:rsidRPr="00E7767B">
        <w:rPr>
          <w:bCs/>
          <w:lang w:val="fr-CA"/>
        </w:rPr>
        <w:t xml:space="preserve">tous </w:t>
      </w:r>
      <w:r w:rsidR="000E0EAA" w:rsidRPr="00E7767B">
        <w:rPr>
          <w:bCs/>
          <w:lang w:val="fr-CA"/>
        </w:rPr>
        <w:t xml:space="preserve">les associés de l’ACRT incluant les </w:t>
      </w:r>
      <w:r w:rsidR="00D47C6A" w:rsidRPr="00E7767B">
        <w:rPr>
          <w:bCs/>
          <w:lang w:val="fr-CA"/>
        </w:rPr>
        <w:t>associés honorifiques et les associés honorifiques pour l’ensemble de la carrière, et le terme «</w:t>
      </w:r>
      <w:r w:rsidR="00F563FA">
        <w:rPr>
          <w:bCs/>
          <w:lang w:val="fr-CA"/>
        </w:rPr>
        <w:t> </w:t>
      </w:r>
      <w:r w:rsidR="00D47C6A" w:rsidRPr="00E7767B">
        <w:rPr>
          <w:b/>
          <w:lang w:val="fr-CA"/>
        </w:rPr>
        <w:t>associé</w:t>
      </w:r>
      <w:r w:rsidR="00F563FA">
        <w:rPr>
          <w:bCs/>
          <w:lang w:val="fr-CA"/>
        </w:rPr>
        <w:t> </w:t>
      </w:r>
      <w:r w:rsidR="00D47C6A" w:rsidRPr="00E7767B">
        <w:rPr>
          <w:bCs/>
          <w:lang w:val="fr-CA"/>
        </w:rPr>
        <w:t>» désigne l’un d’eux</w:t>
      </w:r>
      <w:r w:rsidR="00F563FA">
        <w:rPr>
          <w:bCs/>
          <w:lang w:val="fr-CA"/>
        </w:rPr>
        <w:t> </w:t>
      </w:r>
      <w:r w:rsidR="00D47C6A" w:rsidRPr="00E7767B">
        <w:rPr>
          <w:bCs/>
          <w:lang w:val="fr-CA"/>
        </w:rPr>
        <w:t>;</w:t>
      </w:r>
      <w:r w:rsidR="000E0EAA" w:rsidRPr="00E7767B">
        <w:rPr>
          <w:bCs/>
          <w:lang w:val="fr-CA"/>
        </w:rPr>
        <w:t xml:space="preserve"> </w:t>
      </w:r>
    </w:p>
    <w:p w14:paraId="2737601D" w14:textId="77777777" w:rsidR="00EB3F2D" w:rsidRPr="00E7767B" w:rsidRDefault="00EB3F2D" w:rsidP="00EB3F2D">
      <w:pPr>
        <w:pStyle w:val="ListParagraph"/>
        <w:rPr>
          <w:bCs/>
          <w:lang w:val="fr-CA"/>
        </w:rPr>
      </w:pPr>
    </w:p>
    <w:p w14:paraId="1D6F13EC" w14:textId="7011E65E" w:rsidR="00ED033F" w:rsidRPr="00E7767B" w:rsidRDefault="00EB3F2D" w:rsidP="00AD7879">
      <w:pPr>
        <w:pStyle w:val="TMGenL2"/>
        <w:rPr>
          <w:bCs/>
          <w:lang w:val="fr-CA"/>
        </w:rPr>
      </w:pPr>
      <w:r w:rsidRPr="00E7767B">
        <w:rPr>
          <w:bCs/>
          <w:lang w:val="fr-CA"/>
        </w:rPr>
        <w:t>«</w:t>
      </w:r>
      <w:r w:rsidR="00F563FA">
        <w:rPr>
          <w:bCs/>
          <w:lang w:val="fr-CA"/>
        </w:rPr>
        <w:t> </w:t>
      </w:r>
      <w:r w:rsidRPr="00E7767B">
        <w:rPr>
          <w:b/>
          <w:lang w:val="fr-CA"/>
        </w:rPr>
        <w:t>Code</w:t>
      </w:r>
      <w:r w:rsidR="00F563FA">
        <w:rPr>
          <w:bCs/>
          <w:lang w:val="fr-CA"/>
        </w:rPr>
        <w:t> </w:t>
      </w:r>
      <w:r w:rsidRPr="00E7767B">
        <w:rPr>
          <w:bCs/>
          <w:lang w:val="fr-CA"/>
        </w:rPr>
        <w:t>» signifie le Code de conduite et procédures disciplinaires</w:t>
      </w:r>
      <w:r w:rsidR="00AD7879" w:rsidRPr="00E7767B">
        <w:rPr>
          <w:bCs/>
          <w:lang w:val="fr-CA"/>
        </w:rPr>
        <w:t>, tel que susmentionné</w:t>
      </w:r>
      <w:r w:rsidR="00F563FA">
        <w:rPr>
          <w:bCs/>
          <w:lang w:val="fr-CA"/>
        </w:rPr>
        <w:t> </w:t>
      </w:r>
      <w:r w:rsidRPr="00E7767B">
        <w:rPr>
          <w:bCs/>
          <w:lang w:val="fr-CA"/>
        </w:rPr>
        <w:t>;</w:t>
      </w:r>
    </w:p>
    <w:p w14:paraId="4EA8562D" w14:textId="77777777" w:rsidR="006776D2" w:rsidRPr="00E7767B" w:rsidRDefault="006776D2" w:rsidP="006776D2">
      <w:pPr>
        <w:pStyle w:val="TMGenL2"/>
        <w:numPr>
          <w:ilvl w:val="0"/>
          <w:numId w:val="0"/>
        </w:numPr>
        <w:rPr>
          <w:bCs/>
          <w:lang w:val="fr-CA"/>
        </w:rPr>
      </w:pPr>
    </w:p>
    <w:p w14:paraId="04A8C5BD" w14:textId="4730AC88" w:rsidR="006776D2" w:rsidRPr="00E7767B" w:rsidRDefault="006776D2" w:rsidP="006776D2">
      <w:pPr>
        <w:pStyle w:val="TMGenL2"/>
        <w:rPr>
          <w:b/>
          <w:lang w:val="fr-CA"/>
        </w:rPr>
      </w:pPr>
      <w:r w:rsidRPr="00E7767B">
        <w:rPr>
          <w:bCs/>
          <w:lang w:val="fr-CA"/>
        </w:rPr>
        <w:t>«</w:t>
      </w:r>
      <w:r w:rsidR="00F563FA">
        <w:rPr>
          <w:b/>
          <w:lang w:val="fr-CA"/>
        </w:rPr>
        <w:t> </w:t>
      </w:r>
      <w:r w:rsidR="00B71503">
        <w:rPr>
          <w:b/>
          <w:lang w:val="fr-CA"/>
        </w:rPr>
        <w:t>C</w:t>
      </w:r>
      <w:r w:rsidRPr="00E7767B">
        <w:rPr>
          <w:b/>
          <w:lang w:val="fr-CA"/>
        </w:rPr>
        <w:t>omité sur la conduite</w:t>
      </w:r>
      <w:r w:rsidR="00F563FA">
        <w:rPr>
          <w:b/>
          <w:lang w:val="fr-CA"/>
        </w:rPr>
        <w:t> </w:t>
      </w:r>
      <w:r w:rsidRPr="00E7767B">
        <w:rPr>
          <w:bCs/>
          <w:lang w:val="fr-CA"/>
        </w:rPr>
        <w:t>»</w:t>
      </w:r>
      <w:r w:rsidRPr="00E7767B">
        <w:rPr>
          <w:b/>
          <w:lang w:val="fr-CA"/>
        </w:rPr>
        <w:t xml:space="preserve"> </w:t>
      </w:r>
      <w:r w:rsidRPr="00E7767B">
        <w:rPr>
          <w:bCs/>
          <w:lang w:val="fr-CA"/>
        </w:rPr>
        <w:t>signifie</w:t>
      </w:r>
      <w:r w:rsidRPr="00E7767B">
        <w:rPr>
          <w:b/>
          <w:lang w:val="fr-CA"/>
        </w:rPr>
        <w:t xml:space="preserve"> </w:t>
      </w:r>
      <w:r w:rsidRPr="00E7767B">
        <w:rPr>
          <w:bCs/>
          <w:lang w:val="fr-CA"/>
        </w:rPr>
        <w:t>le comité chargé de la mise en œuvre et de l’application du présent Code</w:t>
      </w:r>
      <w:r w:rsidR="00F563FA">
        <w:rPr>
          <w:bCs/>
          <w:lang w:val="fr-CA"/>
        </w:rPr>
        <w:t> </w:t>
      </w:r>
      <w:r w:rsidRPr="00E7767B">
        <w:rPr>
          <w:bCs/>
          <w:lang w:val="fr-CA"/>
        </w:rPr>
        <w:t xml:space="preserve">; </w:t>
      </w:r>
    </w:p>
    <w:p w14:paraId="64BB3934" w14:textId="77777777" w:rsidR="006776D2" w:rsidRPr="00E7767B" w:rsidRDefault="006776D2" w:rsidP="006776D2">
      <w:pPr>
        <w:pStyle w:val="TMGenL2"/>
        <w:numPr>
          <w:ilvl w:val="0"/>
          <w:numId w:val="0"/>
        </w:numPr>
        <w:rPr>
          <w:bCs/>
          <w:lang w:val="fr-CA"/>
        </w:rPr>
      </w:pPr>
    </w:p>
    <w:p w14:paraId="79F20670" w14:textId="28E5BA10" w:rsidR="006776D2" w:rsidRPr="00E7767B" w:rsidRDefault="006776D2" w:rsidP="006776D2">
      <w:pPr>
        <w:pStyle w:val="TMGenL2"/>
        <w:rPr>
          <w:b/>
          <w:lang w:val="fr-CA"/>
        </w:rPr>
      </w:pPr>
      <w:r w:rsidRPr="00E7767B">
        <w:rPr>
          <w:bCs/>
          <w:lang w:val="fr-CA"/>
        </w:rPr>
        <w:t>«</w:t>
      </w:r>
      <w:r w:rsidR="00F563FA">
        <w:rPr>
          <w:b/>
          <w:lang w:val="fr-CA"/>
        </w:rPr>
        <w:t> </w:t>
      </w:r>
      <w:proofErr w:type="gramStart"/>
      <w:r w:rsidRPr="00E7767B">
        <w:rPr>
          <w:b/>
          <w:lang w:val="fr-CA"/>
        </w:rPr>
        <w:t>comportement</w:t>
      </w:r>
      <w:proofErr w:type="gramEnd"/>
      <w:r w:rsidRPr="00E7767B">
        <w:rPr>
          <w:b/>
          <w:lang w:val="fr-CA"/>
        </w:rPr>
        <w:t xml:space="preserve"> interdit</w:t>
      </w:r>
      <w:r w:rsidR="00F563FA">
        <w:rPr>
          <w:b/>
          <w:lang w:val="fr-CA"/>
        </w:rPr>
        <w:t> </w:t>
      </w:r>
      <w:r w:rsidRPr="00E7767B">
        <w:rPr>
          <w:bCs/>
          <w:lang w:val="fr-CA"/>
        </w:rPr>
        <w:t>»</w:t>
      </w:r>
      <w:r w:rsidRPr="00E7767B">
        <w:rPr>
          <w:b/>
          <w:lang w:val="fr-CA"/>
        </w:rPr>
        <w:t xml:space="preserve"> </w:t>
      </w:r>
      <w:r w:rsidRPr="00E7767B">
        <w:rPr>
          <w:bCs/>
          <w:lang w:val="fr-CA"/>
        </w:rPr>
        <w:t>s’entend au sens de la section</w:t>
      </w:r>
      <w:r w:rsidR="00F563FA">
        <w:rPr>
          <w:bCs/>
          <w:lang w:val="fr-CA"/>
        </w:rPr>
        <w:t> </w:t>
      </w:r>
      <w:r w:rsidRPr="00E7767B">
        <w:rPr>
          <w:bCs/>
          <w:lang w:val="fr-CA"/>
        </w:rPr>
        <w:t>8</w:t>
      </w:r>
      <w:r w:rsidR="00F563FA">
        <w:rPr>
          <w:bCs/>
          <w:lang w:val="fr-CA"/>
        </w:rPr>
        <w:t> </w:t>
      </w:r>
      <w:r w:rsidRPr="00E7767B">
        <w:rPr>
          <w:bCs/>
          <w:lang w:val="fr-CA"/>
        </w:rPr>
        <w:t>;</w:t>
      </w:r>
      <w:r w:rsidRPr="00E7767B">
        <w:rPr>
          <w:b/>
          <w:lang w:val="fr-CA"/>
        </w:rPr>
        <w:t xml:space="preserve"> </w:t>
      </w:r>
    </w:p>
    <w:p w14:paraId="495C0A7E" w14:textId="77777777" w:rsidR="00FF5C34" w:rsidRPr="00E7767B" w:rsidRDefault="00FF5C34" w:rsidP="00FF5C34">
      <w:pPr>
        <w:pStyle w:val="TMGenL2"/>
        <w:numPr>
          <w:ilvl w:val="0"/>
          <w:numId w:val="0"/>
        </w:numPr>
        <w:ind w:left="1440"/>
        <w:rPr>
          <w:b/>
          <w:lang w:val="fr-CA"/>
        </w:rPr>
      </w:pPr>
    </w:p>
    <w:p w14:paraId="333B0B75" w14:textId="7EDF8F78" w:rsidR="006776D2" w:rsidRPr="00E7767B" w:rsidRDefault="006776D2" w:rsidP="006776D2">
      <w:pPr>
        <w:pStyle w:val="TMGenL2"/>
        <w:rPr>
          <w:b/>
          <w:lang w:val="fr-CA"/>
        </w:rPr>
      </w:pPr>
      <w:r w:rsidRPr="00E7767B">
        <w:rPr>
          <w:bCs/>
          <w:lang w:val="fr-CA"/>
        </w:rPr>
        <w:lastRenderedPageBreak/>
        <w:t>«</w:t>
      </w:r>
      <w:r w:rsidR="00F563FA">
        <w:rPr>
          <w:b/>
          <w:lang w:val="fr-CA"/>
        </w:rPr>
        <w:t> </w:t>
      </w:r>
      <w:proofErr w:type="gramStart"/>
      <w:r w:rsidRPr="00E7767B">
        <w:rPr>
          <w:b/>
          <w:lang w:val="fr-CA"/>
        </w:rPr>
        <w:t>dirigeants</w:t>
      </w:r>
      <w:proofErr w:type="gramEnd"/>
      <w:r w:rsidR="00F563FA">
        <w:rPr>
          <w:b/>
          <w:lang w:val="fr-CA"/>
        </w:rPr>
        <w:t> </w:t>
      </w:r>
      <w:r w:rsidRPr="00E7767B">
        <w:rPr>
          <w:bCs/>
          <w:lang w:val="fr-CA"/>
        </w:rPr>
        <w:t>»</w:t>
      </w:r>
      <w:r w:rsidRPr="00E7767B">
        <w:rPr>
          <w:b/>
          <w:lang w:val="fr-CA"/>
        </w:rPr>
        <w:t xml:space="preserve"> </w:t>
      </w:r>
      <w:r w:rsidRPr="00E7767B">
        <w:rPr>
          <w:bCs/>
          <w:lang w:val="fr-CA"/>
        </w:rPr>
        <w:t>désigne les particuliers nommés ou élus en tant que dirigeants de l’ACRT à un moment donné, incluant le ou la président(e), le ou la vice-président(e), le ou la secrétaire, le trésorier ou la trésorière, le coordinateur ou la coordinatrice des inscriptions, et tout autre particulier occupant des fonctions similaires normalement occupées par un de ces dirigeants au sein de l’Association, et « </w:t>
      </w:r>
      <w:r w:rsidRPr="00E7767B">
        <w:rPr>
          <w:b/>
          <w:lang w:val="fr-CA"/>
        </w:rPr>
        <w:t>dirigeant</w:t>
      </w:r>
      <w:r w:rsidRPr="00E7767B">
        <w:rPr>
          <w:bCs/>
          <w:lang w:val="fr-CA"/>
        </w:rPr>
        <w:t> » désigne l’un de ces particuliers ;</w:t>
      </w:r>
    </w:p>
    <w:p w14:paraId="733B17F3" w14:textId="77777777" w:rsidR="006776D2" w:rsidRPr="00E7767B" w:rsidRDefault="006776D2" w:rsidP="006776D2">
      <w:pPr>
        <w:pStyle w:val="TMGenL2"/>
        <w:numPr>
          <w:ilvl w:val="0"/>
          <w:numId w:val="0"/>
        </w:numPr>
        <w:rPr>
          <w:b/>
          <w:lang w:val="fr-CA"/>
        </w:rPr>
      </w:pPr>
    </w:p>
    <w:p w14:paraId="7D113957" w14:textId="5A69F931" w:rsidR="006776D2" w:rsidRPr="00E7767B" w:rsidRDefault="006776D2" w:rsidP="006776D2">
      <w:pPr>
        <w:pStyle w:val="TMGenL2"/>
        <w:rPr>
          <w:b/>
          <w:lang w:val="fr-CA"/>
        </w:rPr>
      </w:pPr>
      <w:r w:rsidRPr="00E7767B">
        <w:rPr>
          <w:bCs/>
          <w:lang w:val="fr-CA"/>
        </w:rPr>
        <w:t>«</w:t>
      </w:r>
      <w:r w:rsidR="00F563FA">
        <w:rPr>
          <w:bCs/>
          <w:lang w:val="fr-CA"/>
        </w:rPr>
        <w:t> </w:t>
      </w:r>
      <w:proofErr w:type="gramStart"/>
      <w:r w:rsidRPr="00E7767B">
        <w:rPr>
          <w:b/>
          <w:lang w:val="fr-CA"/>
        </w:rPr>
        <w:t>institution</w:t>
      </w:r>
      <w:proofErr w:type="gramEnd"/>
      <w:r w:rsidRPr="00E7767B">
        <w:rPr>
          <w:bCs/>
          <w:lang w:val="fr-CA"/>
        </w:rPr>
        <w:t xml:space="preserve"> </w:t>
      </w:r>
      <w:r w:rsidRPr="00E7767B">
        <w:rPr>
          <w:b/>
          <w:lang w:val="fr-CA"/>
        </w:rPr>
        <w:t>hôte</w:t>
      </w:r>
      <w:r w:rsidR="00F563FA">
        <w:rPr>
          <w:bCs/>
          <w:lang w:val="fr-CA"/>
        </w:rPr>
        <w:t> </w:t>
      </w:r>
      <w:r w:rsidRPr="00E7767B">
        <w:rPr>
          <w:bCs/>
          <w:lang w:val="fr-CA"/>
        </w:rPr>
        <w:t>» désigne l’institution sur les lieux de laquelle est tenue toute activité liée à l’ACRT</w:t>
      </w:r>
      <w:r w:rsidR="00F563FA">
        <w:rPr>
          <w:bCs/>
          <w:lang w:val="fr-CA"/>
        </w:rPr>
        <w:t> </w:t>
      </w:r>
      <w:r w:rsidRPr="00E7767B">
        <w:rPr>
          <w:bCs/>
          <w:lang w:val="fr-CA"/>
        </w:rPr>
        <w:t xml:space="preserve">; </w:t>
      </w:r>
    </w:p>
    <w:p w14:paraId="151FD50E" w14:textId="77777777" w:rsidR="006776D2" w:rsidRPr="00E7767B" w:rsidRDefault="006776D2" w:rsidP="006776D2">
      <w:pPr>
        <w:pStyle w:val="TMGenL2"/>
        <w:numPr>
          <w:ilvl w:val="0"/>
          <w:numId w:val="0"/>
        </w:numPr>
        <w:rPr>
          <w:b/>
          <w:lang w:val="fr-CA"/>
        </w:rPr>
      </w:pPr>
    </w:p>
    <w:p w14:paraId="030D2582" w14:textId="7614C1D8" w:rsidR="006776D2" w:rsidRPr="00E7767B" w:rsidRDefault="006776D2" w:rsidP="006776D2">
      <w:pPr>
        <w:pStyle w:val="TMGenL2"/>
        <w:rPr>
          <w:b/>
          <w:lang w:val="fr-CA"/>
        </w:rPr>
      </w:pPr>
      <w:r w:rsidRPr="00E7767B">
        <w:rPr>
          <w:bCs/>
          <w:lang w:val="fr-CA"/>
        </w:rPr>
        <w:t>«</w:t>
      </w:r>
      <w:r w:rsidR="00F563FA">
        <w:rPr>
          <w:bCs/>
          <w:lang w:val="fr-CA"/>
        </w:rPr>
        <w:t> </w:t>
      </w:r>
      <w:proofErr w:type="gramStart"/>
      <w:r w:rsidRPr="00E7767B">
        <w:rPr>
          <w:b/>
          <w:lang w:val="fr-CA"/>
        </w:rPr>
        <w:t>institution</w:t>
      </w:r>
      <w:proofErr w:type="gramEnd"/>
      <w:r w:rsidRPr="00E7767B">
        <w:rPr>
          <w:b/>
          <w:lang w:val="fr-CA"/>
        </w:rPr>
        <w:t xml:space="preserve"> liée</w:t>
      </w:r>
      <w:r w:rsidR="00F563FA">
        <w:rPr>
          <w:bCs/>
          <w:lang w:val="fr-CA"/>
        </w:rPr>
        <w:t> </w:t>
      </w:r>
      <w:r w:rsidRPr="00E7767B">
        <w:rPr>
          <w:bCs/>
          <w:lang w:val="fr-CA"/>
        </w:rPr>
        <w:t>» désigne toute institution avec laquelle un représentant de l’ACRT entretient un lien ou une relation incluant, sans s’y restreindre, une institution où le représentant enseigne, fait de la recherche ou fréquente</w:t>
      </w:r>
      <w:r w:rsidR="00F563FA">
        <w:rPr>
          <w:bCs/>
          <w:lang w:val="fr-CA"/>
        </w:rPr>
        <w:t> </w:t>
      </w:r>
      <w:r w:rsidRPr="00E7767B">
        <w:rPr>
          <w:bCs/>
          <w:lang w:val="fr-CA"/>
        </w:rPr>
        <w:t>;</w:t>
      </w:r>
    </w:p>
    <w:p w14:paraId="76B4CBD4" w14:textId="77777777" w:rsidR="006776D2" w:rsidRPr="00E7767B" w:rsidRDefault="006776D2" w:rsidP="006776D2">
      <w:pPr>
        <w:pStyle w:val="TMGenL2"/>
        <w:numPr>
          <w:ilvl w:val="0"/>
          <w:numId w:val="0"/>
        </w:numPr>
        <w:rPr>
          <w:b/>
          <w:lang w:val="fr-CA"/>
        </w:rPr>
      </w:pPr>
    </w:p>
    <w:p w14:paraId="735A9AA7" w14:textId="3E194A56" w:rsidR="006776D2" w:rsidRPr="00E7767B" w:rsidRDefault="006776D2" w:rsidP="006776D2">
      <w:pPr>
        <w:pStyle w:val="TMGenL2"/>
        <w:rPr>
          <w:b/>
          <w:lang w:val="fr-CA"/>
        </w:rPr>
      </w:pPr>
      <w:r w:rsidRPr="00E7767B">
        <w:rPr>
          <w:bCs/>
          <w:lang w:val="fr-CA"/>
        </w:rPr>
        <w:t>«</w:t>
      </w:r>
      <w:r w:rsidR="00F563FA">
        <w:rPr>
          <w:bCs/>
          <w:lang w:val="fr-CA"/>
        </w:rPr>
        <w:t> </w:t>
      </w:r>
      <w:proofErr w:type="gramStart"/>
      <w:r w:rsidRPr="00E7767B">
        <w:rPr>
          <w:b/>
          <w:lang w:val="fr-CA"/>
        </w:rPr>
        <w:t>membres</w:t>
      </w:r>
      <w:proofErr w:type="gramEnd"/>
      <w:r w:rsidR="00F563FA">
        <w:rPr>
          <w:bCs/>
          <w:lang w:val="fr-CA"/>
        </w:rPr>
        <w:t> </w:t>
      </w:r>
      <w:r w:rsidRPr="00E7767B">
        <w:rPr>
          <w:bCs/>
          <w:lang w:val="fr-CA"/>
        </w:rPr>
        <w:t>»</w:t>
      </w:r>
      <w:r w:rsidRPr="00E7767B">
        <w:rPr>
          <w:b/>
          <w:lang w:val="fr-CA"/>
        </w:rPr>
        <w:t xml:space="preserve"> </w:t>
      </w:r>
      <w:r w:rsidRPr="00E7767B">
        <w:rPr>
          <w:bCs/>
          <w:lang w:val="fr-CA"/>
        </w:rPr>
        <w:t>désigne les membres de l’ACRT à un moment donné et «</w:t>
      </w:r>
      <w:r w:rsidR="00F563FA">
        <w:rPr>
          <w:bCs/>
          <w:lang w:val="fr-CA"/>
        </w:rPr>
        <w:t> </w:t>
      </w:r>
      <w:r w:rsidRPr="00E7767B">
        <w:rPr>
          <w:b/>
          <w:lang w:val="fr-CA"/>
        </w:rPr>
        <w:t>membre</w:t>
      </w:r>
      <w:r w:rsidR="00F563FA">
        <w:rPr>
          <w:bCs/>
          <w:lang w:val="fr-CA"/>
        </w:rPr>
        <w:t> </w:t>
      </w:r>
      <w:r w:rsidRPr="00E7767B">
        <w:rPr>
          <w:bCs/>
          <w:lang w:val="fr-CA"/>
        </w:rPr>
        <w:t>» désigne l’un de ces individus</w:t>
      </w:r>
      <w:r w:rsidR="00F563FA">
        <w:rPr>
          <w:bCs/>
          <w:lang w:val="fr-CA"/>
        </w:rPr>
        <w:t> </w:t>
      </w:r>
      <w:r w:rsidRPr="00E7767B">
        <w:rPr>
          <w:bCs/>
          <w:lang w:val="fr-CA"/>
        </w:rPr>
        <w:t xml:space="preserve">; </w:t>
      </w:r>
    </w:p>
    <w:p w14:paraId="4B9FF0BC" w14:textId="77777777" w:rsidR="006776D2" w:rsidRPr="00E7767B" w:rsidRDefault="006776D2" w:rsidP="006776D2">
      <w:pPr>
        <w:pStyle w:val="TMGenL2"/>
        <w:numPr>
          <w:ilvl w:val="0"/>
          <w:numId w:val="0"/>
        </w:numPr>
        <w:rPr>
          <w:b/>
          <w:lang w:val="fr-CA"/>
        </w:rPr>
      </w:pPr>
    </w:p>
    <w:p w14:paraId="47B22906" w14:textId="6781EAFB" w:rsidR="00B82B18" w:rsidRPr="00E7767B" w:rsidRDefault="006776D2" w:rsidP="006776D2">
      <w:pPr>
        <w:pStyle w:val="TMGenL2"/>
        <w:rPr>
          <w:b/>
          <w:lang w:val="fr-CA"/>
        </w:rPr>
      </w:pPr>
      <w:r w:rsidRPr="00E7767B">
        <w:rPr>
          <w:bCs/>
          <w:lang w:val="fr-CA"/>
        </w:rPr>
        <w:t xml:space="preserve"> </w:t>
      </w:r>
      <w:r w:rsidR="00AD7879" w:rsidRPr="00E7767B">
        <w:rPr>
          <w:bCs/>
          <w:lang w:val="fr-CA"/>
        </w:rPr>
        <w:t>«</w:t>
      </w:r>
      <w:r w:rsidR="00F563FA">
        <w:rPr>
          <w:b/>
          <w:lang w:val="fr-CA"/>
        </w:rPr>
        <w:t> </w:t>
      </w:r>
      <w:proofErr w:type="gramStart"/>
      <w:r w:rsidR="00E6318D" w:rsidRPr="00E7767B">
        <w:rPr>
          <w:b/>
          <w:lang w:val="fr-CA"/>
        </w:rPr>
        <w:t>m</w:t>
      </w:r>
      <w:r w:rsidR="00AD7879" w:rsidRPr="00E7767B">
        <w:rPr>
          <w:b/>
          <w:lang w:val="fr-CA"/>
        </w:rPr>
        <w:t>embres</w:t>
      </w:r>
      <w:proofErr w:type="gramEnd"/>
      <w:r w:rsidR="00AD7879" w:rsidRPr="00E7767B">
        <w:rPr>
          <w:b/>
          <w:lang w:val="fr-CA"/>
        </w:rPr>
        <w:t xml:space="preserve"> d</w:t>
      </w:r>
      <w:r w:rsidR="00B82B18" w:rsidRPr="00E7767B">
        <w:rPr>
          <w:b/>
          <w:lang w:val="fr-CA"/>
        </w:rPr>
        <w:t>u</w:t>
      </w:r>
      <w:r w:rsidR="00AD7879" w:rsidRPr="00E7767B">
        <w:rPr>
          <w:b/>
          <w:lang w:val="fr-CA"/>
        </w:rPr>
        <w:t xml:space="preserve"> </w:t>
      </w:r>
      <w:r w:rsidR="00B71503">
        <w:rPr>
          <w:b/>
          <w:lang w:val="fr-CA"/>
        </w:rPr>
        <w:t>C</w:t>
      </w:r>
      <w:r w:rsidR="00AD7879" w:rsidRPr="00E7767B">
        <w:rPr>
          <w:b/>
          <w:lang w:val="fr-CA"/>
        </w:rPr>
        <w:t>omité</w:t>
      </w:r>
      <w:r w:rsidR="00F563FA">
        <w:rPr>
          <w:b/>
          <w:lang w:val="fr-CA"/>
        </w:rPr>
        <w:t> </w:t>
      </w:r>
      <w:r w:rsidR="00AD7879" w:rsidRPr="00E7767B">
        <w:rPr>
          <w:bCs/>
          <w:lang w:val="fr-CA"/>
        </w:rPr>
        <w:t>» désigne les membres de n’importe quel comité de l’ACRT incluant</w:t>
      </w:r>
      <w:r w:rsidR="00B82B18" w:rsidRPr="00E7767B">
        <w:rPr>
          <w:bCs/>
          <w:lang w:val="fr-CA"/>
        </w:rPr>
        <w:t>, sans s’y restreindre, les membres du comité des administrateurs de l’ACRT, et le terme «</w:t>
      </w:r>
      <w:r w:rsidR="00F563FA">
        <w:rPr>
          <w:bCs/>
          <w:lang w:val="fr-CA"/>
        </w:rPr>
        <w:t> </w:t>
      </w:r>
      <w:r w:rsidR="00B82B18" w:rsidRPr="00E7767B">
        <w:rPr>
          <w:b/>
          <w:lang w:val="fr-CA"/>
        </w:rPr>
        <w:t xml:space="preserve">membre du </w:t>
      </w:r>
      <w:r w:rsidR="00B71503">
        <w:rPr>
          <w:b/>
          <w:lang w:val="fr-CA"/>
        </w:rPr>
        <w:t>C</w:t>
      </w:r>
      <w:r w:rsidR="00B82B18" w:rsidRPr="00E7767B">
        <w:rPr>
          <w:b/>
          <w:lang w:val="fr-CA"/>
        </w:rPr>
        <w:t>omité</w:t>
      </w:r>
      <w:r w:rsidR="00F563FA">
        <w:rPr>
          <w:bCs/>
          <w:lang w:val="fr-CA"/>
        </w:rPr>
        <w:t> </w:t>
      </w:r>
      <w:r w:rsidR="00B82B18" w:rsidRPr="00E7767B">
        <w:rPr>
          <w:bCs/>
          <w:lang w:val="fr-CA"/>
        </w:rPr>
        <w:t>» désigne l’un d’eux</w:t>
      </w:r>
      <w:r w:rsidR="00F563FA">
        <w:rPr>
          <w:bCs/>
          <w:lang w:val="fr-CA"/>
        </w:rPr>
        <w:t> </w:t>
      </w:r>
      <w:r w:rsidR="00B82B18" w:rsidRPr="00E7767B">
        <w:rPr>
          <w:bCs/>
          <w:lang w:val="fr-CA"/>
        </w:rPr>
        <w:t>;</w:t>
      </w:r>
    </w:p>
    <w:p w14:paraId="478A1FDD" w14:textId="77777777" w:rsidR="00B82B18" w:rsidRPr="00E7767B" w:rsidRDefault="00B82B18" w:rsidP="00B82B18">
      <w:pPr>
        <w:pStyle w:val="ListParagraph"/>
        <w:rPr>
          <w:b/>
          <w:lang w:val="fr-CA"/>
        </w:rPr>
      </w:pPr>
    </w:p>
    <w:p w14:paraId="66EE4077" w14:textId="43AF34B9" w:rsidR="006776D2" w:rsidRPr="00E7767B" w:rsidRDefault="006776D2" w:rsidP="006776D2">
      <w:pPr>
        <w:pStyle w:val="TMGenL2"/>
        <w:rPr>
          <w:b/>
          <w:lang w:val="fr-CA"/>
        </w:rPr>
      </w:pPr>
      <w:r w:rsidRPr="00E7767B">
        <w:rPr>
          <w:bCs/>
          <w:lang w:val="fr-CA"/>
        </w:rPr>
        <w:t>«</w:t>
      </w:r>
      <w:r w:rsidR="00F563FA">
        <w:rPr>
          <w:b/>
          <w:lang w:val="fr-CA"/>
        </w:rPr>
        <w:t> </w:t>
      </w:r>
      <w:proofErr w:type="gramStart"/>
      <w:r w:rsidRPr="00E7767B">
        <w:rPr>
          <w:b/>
          <w:lang w:val="fr-CA"/>
        </w:rPr>
        <w:t>rapport</w:t>
      </w:r>
      <w:proofErr w:type="gramEnd"/>
      <w:r w:rsidR="00F563FA">
        <w:rPr>
          <w:b/>
          <w:lang w:val="fr-CA"/>
        </w:rPr>
        <w:t> </w:t>
      </w:r>
      <w:r w:rsidRPr="00E7767B">
        <w:rPr>
          <w:bCs/>
          <w:lang w:val="fr-CA"/>
        </w:rPr>
        <w:t>» signifie un rapport fait par un représentant de l’ACRT alléguant qu’un autre représentant de l’ACRT a adopté un comportement interdit contrevenant au présent Code</w:t>
      </w:r>
      <w:r w:rsidR="00F563FA">
        <w:rPr>
          <w:bCs/>
          <w:lang w:val="fr-CA"/>
        </w:rPr>
        <w:t> </w:t>
      </w:r>
      <w:r w:rsidRPr="00E7767B">
        <w:rPr>
          <w:bCs/>
          <w:lang w:val="fr-CA"/>
        </w:rPr>
        <w:t>;</w:t>
      </w:r>
    </w:p>
    <w:p w14:paraId="0889950F" w14:textId="77777777" w:rsidR="00E6318D" w:rsidRPr="00E7767B" w:rsidRDefault="00E6318D" w:rsidP="00E6318D">
      <w:pPr>
        <w:pStyle w:val="ListParagraph"/>
        <w:rPr>
          <w:b/>
          <w:lang w:val="fr-CA"/>
        </w:rPr>
      </w:pPr>
    </w:p>
    <w:p w14:paraId="08C4FF7A" w14:textId="2C176F3E" w:rsidR="00E6318D" w:rsidRPr="00E7767B" w:rsidRDefault="00E6318D" w:rsidP="00B82B18">
      <w:pPr>
        <w:pStyle w:val="TMGenL2"/>
        <w:rPr>
          <w:b/>
          <w:lang w:val="fr-CA"/>
        </w:rPr>
      </w:pPr>
      <w:r w:rsidRPr="00E7767B">
        <w:rPr>
          <w:bCs/>
          <w:lang w:val="fr-CA"/>
        </w:rPr>
        <w:t>«</w:t>
      </w:r>
      <w:r w:rsidR="00F563FA">
        <w:rPr>
          <w:b/>
          <w:lang w:val="fr-CA"/>
        </w:rPr>
        <w:t> </w:t>
      </w:r>
      <w:proofErr w:type="gramStart"/>
      <w:r w:rsidRPr="00E7767B">
        <w:rPr>
          <w:b/>
          <w:lang w:val="fr-CA"/>
        </w:rPr>
        <w:t>représentants</w:t>
      </w:r>
      <w:proofErr w:type="gramEnd"/>
      <w:r w:rsidRPr="00E7767B">
        <w:rPr>
          <w:b/>
          <w:lang w:val="fr-CA"/>
        </w:rPr>
        <w:t xml:space="preserve"> de l’ACRT</w:t>
      </w:r>
      <w:r w:rsidR="00F563FA">
        <w:rPr>
          <w:b/>
          <w:lang w:val="fr-CA"/>
        </w:rPr>
        <w:t> </w:t>
      </w:r>
      <w:r w:rsidRPr="00E7767B">
        <w:rPr>
          <w:bCs/>
          <w:lang w:val="fr-CA"/>
        </w:rPr>
        <w:t xml:space="preserve">» </w:t>
      </w:r>
      <w:r w:rsidR="003B3059" w:rsidRPr="00E7767B">
        <w:rPr>
          <w:bCs/>
          <w:lang w:val="fr-CA"/>
        </w:rPr>
        <w:t>s’entend au sens de</w:t>
      </w:r>
      <w:r w:rsidR="00110D91" w:rsidRPr="00E7767B">
        <w:rPr>
          <w:bCs/>
          <w:lang w:val="fr-CA"/>
        </w:rPr>
        <w:t xml:space="preserve"> la section</w:t>
      </w:r>
      <w:r w:rsidR="00F563FA">
        <w:rPr>
          <w:bCs/>
          <w:lang w:val="fr-CA"/>
        </w:rPr>
        <w:t> </w:t>
      </w:r>
      <w:r w:rsidR="00110D91" w:rsidRPr="00E7767B">
        <w:rPr>
          <w:bCs/>
          <w:lang w:val="fr-CA"/>
        </w:rPr>
        <w:t>4</w:t>
      </w:r>
      <w:r w:rsidR="006776D2" w:rsidRPr="00E7767B">
        <w:rPr>
          <w:bCs/>
          <w:lang w:val="fr-CA"/>
        </w:rPr>
        <w:t>.</w:t>
      </w:r>
    </w:p>
    <w:p w14:paraId="7839609E" w14:textId="77777777" w:rsidR="00DC1F6C" w:rsidRPr="00E7767B" w:rsidRDefault="00DC1F6C" w:rsidP="006305E9">
      <w:pPr>
        <w:rPr>
          <w:lang w:val="fr-CA"/>
        </w:rPr>
      </w:pPr>
    </w:p>
    <w:p w14:paraId="64A42963" w14:textId="77777777" w:rsidR="00951EE7" w:rsidRPr="00E7767B" w:rsidRDefault="00951EE7" w:rsidP="00B975F3">
      <w:pPr>
        <w:pStyle w:val="TMGenL2"/>
        <w:numPr>
          <w:ilvl w:val="0"/>
          <w:numId w:val="0"/>
        </w:numPr>
        <w:rPr>
          <w:lang w:val="fr-CA"/>
        </w:rPr>
      </w:pPr>
    </w:p>
    <w:p w14:paraId="08D49A81" w14:textId="52B257B8" w:rsidR="003B5F56" w:rsidRPr="00E7767B" w:rsidRDefault="008F64E5" w:rsidP="00ED033F">
      <w:pPr>
        <w:pStyle w:val="TMGenL1"/>
        <w:rPr>
          <w:b/>
          <w:lang w:val="fr-CA"/>
        </w:rPr>
      </w:pPr>
      <w:r w:rsidRPr="00E7767B">
        <w:rPr>
          <w:b/>
          <w:lang w:val="fr-CA"/>
        </w:rPr>
        <w:t>Aperçu</w:t>
      </w:r>
    </w:p>
    <w:p w14:paraId="5F37EAAD" w14:textId="04717E02" w:rsidR="004F0044" w:rsidRPr="00E7767B" w:rsidRDefault="004F0044" w:rsidP="00B52439">
      <w:pPr>
        <w:rPr>
          <w:color w:val="000000"/>
          <w:lang w:val="fr-CA"/>
        </w:rPr>
      </w:pPr>
    </w:p>
    <w:p w14:paraId="12B27FDA" w14:textId="261C7345" w:rsidR="00A60F42" w:rsidRPr="00E7767B" w:rsidRDefault="00A60F42" w:rsidP="00036458">
      <w:pPr>
        <w:jc w:val="both"/>
        <w:rPr>
          <w:color w:val="000000"/>
          <w:lang w:val="fr-CA"/>
        </w:rPr>
      </w:pPr>
      <w:r w:rsidRPr="00E7767B">
        <w:rPr>
          <w:color w:val="000000"/>
          <w:lang w:val="fr-CA"/>
        </w:rPr>
        <w:t xml:space="preserve">Dans toutes ses sphères d’activités, l’ACRT s’engage à cultiver et à maintenir </w:t>
      </w:r>
      <w:r w:rsidR="00A015C7" w:rsidRPr="00E7767B">
        <w:rPr>
          <w:color w:val="000000"/>
          <w:lang w:val="fr-CA"/>
        </w:rPr>
        <w:t>une</w:t>
      </w:r>
      <w:r w:rsidRPr="00E7767B">
        <w:rPr>
          <w:color w:val="000000"/>
          <w:lang w:val="fr-CA"/>
        </w:rPr>
        <w:t xml:space="preserve"> culture savante </w:t>
      </w:r>
      <w:r w:rsidR="00A015C7" w:rsidRPr="00E7767B">
        <w:rPr>
          <w:color w:val="000000"/>
          <w:lang w:val="fr-CA"/>
        </w:rPr>
        <w:t>basé</w:t>
      </w:r>
      <w:r w:rsidR="00625FF6" w:rsidRPr="00E7767B">
        <w:rPr>
          <w:color w:val="000000"/>
          <w:lang w:val="fr-CA"/>
        </w:rPr>
        <w:t>e</w:t>
      </w:r>
      <w:r w:rsidR="00A015C7" w:rsidRPr="00E7767B">
        <w:rPr>
          <w:color w:val="000000"/>
          <w:lang w:val="fr-CA"/>
        </w:rPr>
        <w:t xml:space="preserve"> sur</w:t>
      </w:r>
      <w:r w:rsidRPr="00E7767B">
        <w:rPr>
          <w:color w:val="000000"/>
          <w:lang w:val="fr-CA"/>
        </w:rPr>
        <w:t xml:space="preserve"> le respect professionnel, et ce, dans un environnement libre d</w:t>
      </w:r>
      <w:r w:rsidR="00F563FA">
        <w:rPr>
          <w:color w:val="000000"/>
          <w:lang w:val="fr-CA"/>
        </w:rPr>
        <w:t xml:space="preserve">e </w:t>
      </w:r>
      <w:r w:rsidRPr="00E7767B">
        <w:rPr>
          <w:color w:val="000000"/>
          <w:lang w:val="fr-CA"/>
        </w:rPr>
        <w:t>harcèlement, de discrimination, de comportements contraires à l’éthique, au professionn</w:t>
      </w:r>
      <w:r w:rsidR="009737E4" w:rsidRPr="00E7767B">
        <w:rPr>
          <w:color w:val="000000"/>
          <w:lang w:val="fr-CA"/>
        </w:rPr>
        <w:t>alisme</w:t>
      </w:r>
      <w:r w:rsidRPr="00E7767B">
        <w:rPr>
          <w:color w:val="000000"/>
          <w:lang w:val="fr-CA"/>
        </w:rPr>
        <w:t xml:space="preserve"> ou menaçant la liberté intellectuelle. </w:t>
      </w:r>
    </w:p>
    <w:p w14:paraId="66841141" w14:textId="77777777" w:rsidR="00A60F42" w:rsidRPr="00E7767B" w:rsidRDefault="00A60F42" w:rsidP="00B52439">
      <w:pPr>
        <w:rPr>
          <w:color w:val="000000"/>
          <w:lang w:val="fr-CA"/>
        </w:rPr>
      </w:pPr>
    </w:p>
    <w:p w14:paraId="0844C88E" w14:textId="1D926AED" w:rsidR="00A60F42" w:rsidRPr="00E7767B" w:rsidRDefault="00A60F42" w:rsidP="00036458">
      <w:pPr>
        <w:jc w:val="both"/>
        <w:rPr>
          <w:color w:val="000000"/>
          <w:lang w:val="fr-CA"/>
        </w:rPr>
      </w:pPr>
      <w:r w:rsidRPr="00E7767B">
        <w:rPr>
          <w:color w:val="000000"/>
          <w:lang w:val="fr-CA"/>
        </w:rPr>
        <w:t xml:space="preserve">Les représentants de l’ACRT contribuent </w:t>
      </w:r>
      <w:r w:rsidR="00036458" w:rsidRPr="00E7767B">
        <w:rPr>
          <w:color w:val="000000"/>
          <w:lang w:val="fr-CA"/>
        </w:rPr>
        <w:t xml:space="preserve">à l’Association </w:t>
      </w:r>
      <w:r w:rsidR="00D4223E" w:rsidRPr="00E7767B">
        <w:rPr>
          <w:color w:val="000000"/>
          <w:lang w:val="fr-CA"/>
        </w:rPr>
        <w:t>grâce à</w:t>
      </w:r>
      <w:r w:rsidRPr="00E7767B">
        <w:rPr>
          <w:color w:val="000000"/>
          <w:lang w:val="fr-CA"/>
        </w:rPr>
        <w:t xml:space="preserve"> le</w:t>
      </w:r>
      <w:r w:rsidR="00036458" w:rsidRPr="00E7767B">
        <w:rPr>
          <w:color w:val="000000"/>
          <w:lang w:val="fr-CA"/>
        </w:rPr>
        <w:t>urs</w:t>
      </w:r>
      <w:r w:rsidRPr="00E7767B">
        <w:rPr>
          <w:color w:val="000000"/>
          <w:lang w:val="fr-CA"/>
        </w:rPr>
        <w:t xml:space="preserve"> différents </w:t>
      </w:r>
      <w:r w:rsidR="00036458" w:rsidRPr="00E7767B">
        <w:rPr>
          <w:color w:val="000000"/>
          <w:lang w:val="fr-CA"/>
        </w:rPr>
        <w:t xml:space="preserve">parcours, compétences et expériences. S’ils ne sont pas toujours </w:t>
      </w:r>
      <w:r w:rsidR="00D4223E" w:rsidRPr="00E7767B">
        <w:rPr>
          <w:color w:val="000000"/>
          <w:lang w:val="fr-CA"/>
        </w:rPr>
        <w:t>en accord</w:t>
      </w:r>
      <w:r w:rsidR="00036458" w:rsidRPr="00E7767B">
        <w:rPr>
          <w:color w:val="000000"/>
          <w:lang w:val="fr-CA"/>
        </w:rPr>
        <w:t xml:space="preserve"> </w:t>
      </w:r>
      <w:r w:rsidR="00D4223E" w:rsidRPr="00E7767B">
        <w:rPr>
          <w:color w:val="000000"/>
          <w:lang w:val="fr-CA"/>
        </w:rPr>
        <w:t>sur</w:t>
      </w:r>
      <w:r w:rsidR="00036458" w:rsidRPr="00E7767B">
        <w:rPr>
          <w:color w:val="000000"/>
          <w:lang w:val="fr-CA"/>
        </w:rPr>
        <w:t xml:space="preserve"> différentes questions, les débats doivent néanmoins se faire dans le respect mutuel et de façon courtoise. L’ACRT souhaite entretenir un environnement de travail et d’apprentissage où peuvent s’épanouir professionnellement ses représentants. </w:t>
      </w:r>
      <w:r w:rsidR="00036458" w:rsidRPr="00E7767B">
        <w:rPr>
          <w:b/>
          <w:bCs/>
          <w:color w:val="000000"/>
          <w:lang w:val="fr-CA"/>
        </w:rPr>
        <w:t xml:space="preserve">Le maintien d’un tel environnement </w:t>
      </w:r>
      <w:r w:rsidR="009B5BCF">
        <w:rPr>
          <w:b/>
          <w:bCs/>
          <w:color w:val="000000"/>
          <w:lang w:val="fr-CA"/>
        </w:rPr>
        <w:t>relève de</w:t>
      </w:r>
      <w:r w:rsidR="00036458" w:rsidRPr="00E7767B">
        <w:rPr>
          <w:b/>
          <w:bCs/>
          <w:color w:val="000000"/>
          <w:lang w:val="fr-CA"/>
        </w:rPr>
        <w:t xml:space="preserve"> la responsabilité de chaque représentant de l’ACRT</w:t>
      </w:r>
      <w:r w:rsidR="00036458" w:rsidRPr="00E7767B">
        <w:rPr>
          <w:color w:val="000000"/>
          <w:lang w:val="fr-CA"/>
        </w:rPr>
        <w:t xml:space="preserve">. Les dirigeants ont la responsabilité supplémentaire de gérer et de guider l’ACRT </w:t>
      </w:r>
      <w:r w:rsidR="00A015C7" w:rsidRPr="00E7767B">
        <w:rPr>
          <w:color w:val="000000"/>
          <w:lang w:val="fr-CA"/>
        </w:rPr>
        <w:t xml:space="preserve">de façon à </w:t>
      </w:r>
      <w:r w:rsidR="00036458" w:rsidRPr="00E7767B">
        <w:rPr>
          <w:color w:val="000000"/>
          <w:lang w:val="fr-CA"/>
        </w:rPr>
        <w:t xml:space="preserve">favorisant le respect, dans l’esprit des valeurs et des principes qu’embrasse le présent Code.   </w:t>
      </w:r>
    </w:p>
    <w:p w14:paraId="17D0DC9C" w14:textId="77777777" w:rsidR="00BE76B0" w:rsidRPr="00E7767B" w:rsidRDefault="00BE76B0" w:rsidP="004F0044">
      <w:pPr>
        <w:rPr>
          <w:color w:val="000000"/>
          <w:lang w:val="fr-CA"/>
        </w:rPr>
      </w:pPr>
    </w:p>
    <w:p w14:paraId="42ABFC1A" w14:textId="77777777" w:rsidR="007A6798" w:rsidRPr="00E7767B" w:rsidRDefault="007A6798" w:rsidP="00ED033F">
      <w:pPr>
        <w:pStyle w:val="TMGenL1"/>
        <w:rPr>
          <w:b/>
          <w:lang w:val="fr-CA"/>
        </w:rPr>
      </w:pPr>
      <w:r w:rsidRPr="00E7767B">
        <w:rPr>
          <w:b/>
          <w:lang w:val="fr-CA"/>
        </w:rPr>
        <w:lastRenderedPageBreak/>
        <w:t xml:space="preserve">Application </w:t>
      </w:r>
    </w:p>
    <w:p w14:paraId="5AF34A75" w14:textId="77777777" w:rsidR="007A6798" w:rsidRPr="00E7767B" w:rsidRDefault="007A6798" w:rsidP="007A6798">
      <w:pPr>
        <w:rPr>
          <w:b/>
          <w:lang w:val="fr-CA"/>
        </w:rPr>
      </w:pPr>
    </w:p>
    <w:p w14:paraId="404E3A25" w14:textId="4426D14D" w:rsidR="002821DD" w:rsidRPr="00E7767B" w:rsidRDefault="002821DD" w:rsidP="008252F8">
      <w:pPr>
        <w:jc w:val="both"/>
        <w:rPr>
          <w:lang w:val="fr-CA"/>
        </w:rPr>
      </w:pPr>
      <w:r w:rsidRPr="00E7767B">
        <w:rPr>
          <w:lang w:val="fr-CA"/>
        </w:rPr>
        <w:t xml:space="preserve">Sauf indication contraire, le Code s’applique à tous les associés, </w:t>
      </w:r>
      <w:r w:rsidR="008332FF" w:rsidRPr="00E7767B">
        <w:rPr>
          <w:lang w:val="fr-CA"/>
        </w:rPr>
        <w:t xml:space="preserve">directeurs, membres, dirigeants et membres du </w:t>
      </w:r>
      <w:r w:rsidR="00572C19">
        <w:rPr>
          <w:lang w:val="fr-CA"/>
        </w:rPr>
        <w:t>C</w:t>
      </w:r>
      <w:r w:rsidR="008332FF" w:rsidRPr="00E7767B">
        <w:rPr>
          <w:lang w:val="fr-CA"/>
        </w:rPr>
        <w:t>omité (soit, collectivement, les «</w:t>
      </w:r>
      <w:r w:rsidR="00F563FA">
        <w:rPr>
          <w:lang w:val="fr-CA"/>
        </w:rPr>
        <w:t> </w:t>
      </w:r>
      <w:r w:rsidR="008332FF" w:rsidRPr="00E7767B">
        <w:rPr>
          <w:b/>
          <w:bCs/>
          <w:lang w:val="fr-CA"/>
        </w:rPr>
        <w:t>représentants de l’ACRT</w:t>
      </w:r>
      <w:r w:rsidR="00F563FA">
        <w:rPr>
          <w:lang w:val="fr-CA"/>
        </w:rPr>
        <w:t> </w:t>
      </w:r>
      <w:r w:rsidR="008332FF" w:rsidRPr="00E7767B">
        <w:rPr>
          <w:lang w:val="fr-CA"/>
        </w:rPr>
        <w:t xml:space="preserve">») </w:t>
      </w:r>
      <w:r w:rsidR="006637DF" w:rsidRPr="00E7767B">
        <w:rPr>
          <w:lang w:val="fr-CA"/>
        </w:rPr>
        <w:t>pendant qu’ils agissent en tant que représentant</w:t>
      </w:r>
      <w:r w:rsidR="00CE34AF" w:rsidRPr="00E7767B">
        <w:rPr>
          <w:lang w:val="fr-CA"/>
        </w:rPr>
        <w:t>s</w:t>
      </w:r>
      <w:r w:rsidR="006637DF" w:rsidRPr="00E7767B">
        <w:rPr>
          <w:lang w:val="fr-CA"/>
        </w:rPr>
        <w:t xml:space="preserve"> de l’ACRT, et ce, en quelque qualité que ce soit et/ou lors de l</w:t>
      </w:r>
      <w:r w:rsidR="00DC49CC" w:rsidRPr="00E7767B">
        <w:rPr>
          <w:lang w:val="fr-CA"/>
        </w:rPr>
        <w:t>eur</w:t>
      </w:r>
      <w:r w:rsidR="006637DF" w:rsidRPr="00E7767B">
        <w:rPr>
          <w:lang w:val="fr-CA"/>
        </w:rPr>
        <w:t xml:space="preserve"> participation à toute activité liée à l’ACRT incluant les activités se tenant dans une institution hôte.  </w:t>
      </w:r>
      <w:r w:rsidR="008332FF" w:rsidRPr="00E7767B">
        <w:rPr>
          <w:lang w:val="fr-CA"/>
        </w:rPr>
        <w:t xml:space="preserve"> </w:t>
      </w:r>
    </w:p>
    <w:p w14:paraId="0420D45E" w14:textId="3C9C759A" w:rsidR="002821DD" w:rsidRPr="00E7767B" w:rsidRDefault="002821DD" w:rsidP="008252F8">
      <w:pPr>
        <w:jc w:val="both"/>
        <w:rPr>
          <w:lang w:val="fr-CA"/>
        </w:rPr>
      </w:pPr>
    </w:p>
    <w:p w14:paraId="59586A83" w14:textId="1A618986" w:rsidR="00075BCE" w:rsidRPr="00E7767B" w:rsidRDefault="00075BCE" w:rsidP="008252F8">
      <w:pPr>
        <w:jc w:val="both"/>
        <w:rPr>
          <w:lang w:val="fr-CA"/>
        </w:rPr>
      </w:pPr>
      <w:r w:rsidRPr="00E7767B">
        <w:rPr>
          <w:lang w:val="fr-CA"/>
        </w:rPr>
        <w:t>Dans certains cas, les individus agissent à</w:t>
      </w:r>
      <w:r w:rsidR="00750933" w:rsidRPr="00E7767B">
        <w:rPr>
          <w:lang w:val="fr-CA"/>
        </w:rPr>
        <w:t xml:space="preserve"> plus d’un</w:t>
      </w:r>
      <w:r w:rsidRPr="00E7767B">
        <w:rPr>
          <w:lang w:val="fr-CA"/>
        </w:rPr>
        <w:t xml:space="preserve"> titre en tant que représentant</w:t>
      </w:r>
      <w:r w:rsidR="00CE34AF" w:rsidRPr="00E7767B">
        <w:rPr>
          <w:lang w:val="fr-CA"/>
        </w:rPr>
        <w:t>s</w:t>
      </w:r>
      <w:r w:rsidRPr="00E7767B">
        <w:rPr>
          <w:lang w:val="fr-CA"/>
        </w:rPr>
        <w:t xml:space="preserve"> (</w:t>
      </w:r>
      <w:r w:rsidR="005C3142" w:rsidRPr="00E7767B">
        <w:rPr>
          <w:lang w:val="fr-CA"/>
        </w:rPr>
        <w:t>i.e.</w:t>
      </w:r>
      <w:r w:rsidRPr="00E7767B">
        <w:rPr>
          <w:lang w:val="fr-CA"/>
        </w:rPr>
        <w:t xml:space="preserve"> les directeurs peuvent aussi être membres, dirigeants et membres du </w:t>
      </w:r>
      <w:r w:rsidR="001F532F">
        <w:rPr>
          <w:lang w:val="fr-CA"/>
        </w:rPr>
        <w:t>C</w:t>
      </w:r>
      <w:r w:rsidRPr="00E7767B">
        <w:rPr>
          <w:lang w:val="fr-CA"/>
        </w:rPr>
        <w:t xml:space="preserve">omité). </w:t>
      </w:r>
      <w:r w:rsidR="00724DEE" w:rsidRPr="00E7767B">
        <w:rPr>
          <w:lang w:val="fr-CA"/>
        </w:rPr>
        <w:t>L’on attend de ces individus qu’ils se plient au Code</w:t>
      </w:r>
      <w:r w:rsidR="00750933" w:rsidRPr="00E7767B">
        <w:rPr>
          <w:lang w:val="fr-CA"/>
        </w:rPr>
        <w:t xml:space="preserve"> en exerçant chacune de </w:t>
      </w:r>
      <w:r w:rsidR="00D90CB5" w:rsidRPr="00E7767B">
        <w:rPr>
          <w:lang w:val="fr-CA"/>
        </w:rPr>
        <w:t>leurs</w:t>
      </w:r>
      <w:r w:rsidR="00750933" w:rsidRPr="00E7767B">
        <w:rPr>
          <w:lang w:val="fr-CA"/>
        </w:rPr>
        <w:t xml:space="preserve"> fonctions, reconnaissant ainsi qu’en fonction du titre grâce auquel ils représentent l’ACRT, les procédures </w:t>
      </w:r>
      <w:r w:rsidR="00677210" w:rsidRPr="00E7767B">
        <w:rPr>
          <w:lang w:val="fr-CA"/>
        </w:rPr>
        <w:t>pour le</w:t>
      </w:r>
      <w:r w:rsidR="00750933" w:rsidRPr="00E7767B">
        <w:rPr>
          <w:lang w:val="fr-CA"/>
        </w:rPr>
        <w:t xml:space="preserve"> traitement </w:t>
      </w:r>
      <w:r w:rsidR="00750933" w:rsidRPr="00D01C36">
        <w:rPr>
          <w:lang w:val="fr-CA"/>
        </w:rPr>
        <w:t>d’un rapport pour allégation de comportement interdit</w:t>
      </w:r>
      <w:r w:rsidR="00750933" w:rsidRPr="00E7767B">
        <w:rPr>
          <w:lang w:val="fr-CA"/>
        </w:rPr>
        <w:t xml:space="preserve"> peu</w:t>
      </w:r>
      <w:r w:rsidR="00CE34AF" w:rsidRPr="00E7767B">
        <w:rPr>
          <w:lang w:val="fr-CA"/>
        </w:rPr>
        <w:t>vent</w:t>
      </w:r>
      <w:r w:rsidR="00750933" w:rsidRPr="00E7767B">
        <w:rPr>
          <w:lang w:val="fr-CA"/>
        </w:rPr>
        <w:t xml:space="preserve"> différer. </w:t>
      </w:r>
    </w:p>
    <w:p w14:paraId="38E00165" w14:textId="77777777" w:rsidR="003C6E98" w:rsidRPr="00E7767B" w:rsidRDefault="003C6E98" w:rsidP="007A6798">
      <w:pPr>
        <w:rPr>
          <w:lang w:val="fr-CA"/>
        </w:rPr>
      </w:pPr>
    </w:p>
    <w:p w14:paraId="60F5E33C" w14:textId="77777777" w:rsidR="007A6798" w:rsidRPr="00E7767B" w:rsidRDefault="007A6798">
      <w:pPr>
        <w:rPr>
          <w:b/>
          <w:lang w:val="fr-CA"/>
        </w:rPr>
      </w:pPr>
    </w:p>
    <w:p w14:paraId="541B639D" w14:textId="33EFC7CB" w:rsidR="00982D56" w:rsidRPr="00E7767B" w:rsidRDefault="003133C5" w:rsidP="00ED033F">
      <w:pPr>
        <w:pStyle w:val="TMGenL1"/>
        <w:rPr>
          <w:b/>
          <w:lang w:val="fr-CA"/>
        </w:rPr>
      </w:pPr>
      <w:r w:rsidRPr="00E7767B">
        <w:rPr>
          <w:b/>
          <w:lang w:val="fr-CA"/>
        </w:rPr>
        <w:t>Objectif</w:t>
      </w:r>
      <w:r w:rsidR="00695B41" w:rsidRPr="00E7767B">
        <w:rPr>
          <w:b/>
          <w:lang w:val="fr-CA"/>
        </w:rPr>
        <w:t>s</w:t>
      </w:r>
    </w:p>
    <w:p w14:paraId="39C970AD" w14:textId="77777777" w:rsidR="00982D56" w:rsidRPr="00E7767B" w:rsidRDefault="00982D56">
      <w:pPr>
        <w:rPr>
          <w:lang w:val="fr-CA"/>
        </w:rPr>
      </w:pPr>
    </w:p>
    <w:p w14:paraId="7FF4733D" w14:textId="608DC5D0" w:rsidR="00B62635" w:rsidRPr="00E7767B" w:rsidRDefault="00695B41">
      <w:pPr>
        <w:rPr>
          <w:lang w:val="fr-CA"/>
        </w:rPr>
      </w:pPr>
      <w:r w:rsidRPr="00E7767B">
        <w:rPr>
          <w:lang w:val="fr-CA"/>
        </w:rPr>
        <w:t>Les objectifs</w:t>
      </w:r>
      <w:r w:rsidR="003133C5" w:rsidRPr="00E7767B">
        <w:rPr>
          <w:lang w:val="fr-CA"/>
        </w:rPr>
        <w:t xml:space="preserve"> de ce Code </w:t>
      </w:r>
      <w:r w:rsidRPr="00E7767B">
        <w:rPr>
          <w:lang w:val="fr-CA"/>
        </w:rPr>
        <w:t>sont</w:t>
      </w:r>
      <w:r w:rsidR="003133C5" w:rsidRPr="00E7767B">
        <w:rPr>
          <w:lang w:val="fr-CA"/>
        </w:rPr>
        <w:t> :</w:t>
      </w:r>
    </w:p>
    <w:p w14:paraId="5FF5D58F" w14:textId="77777777" w:rsidR="00B62635" w:rsidRPr="00E7767B" w:rsidRDefault="00B62635">
      <w:pPr>
        <w:rPr>
          <w:lang w:val="fr-CA"/>
        </w:rPr>
      </w:pPr>
    </w:p>
    <w:p w14:paraId="1A37FCCC" w14:textId="4AAE40B8" w:rsidR="00695B41" w:rsidRPr="00E7767B" w:rsidRDefault="00695B41" w:rsidP="00B62635">
      <w:pPr>
        <w:pStyle w:val="ListParagraph"/>
        <w:numPr>
          <w:ilvl w:val="0"/>
          <w:numId w:val="13"/>
        </w:numPr>
        <w:rPr>
          <w:lang w:val="fr-CA"/>
        </w:rPr>
      </w:pPr>
      <w:r w:rsidRPr="00E7767B">
        <w:rPr>
          <w:lang w:val="fr-CA"/>
        </w:rPr>
        <w:t>Affirmer l’engagement de l’ACRT envers les valeurs et les principes établis à la section 3</w:t>
      </w:r>
      <w:r w:rsidR="00F563FA">
        <w:rPr>
          <w:lang w:val="fr-CA"/>
        </w:rPr>
        <w:t> </w:t>
      </w:r>
      <w:r w:rsidRPr="00E7767B">
        <w:rPr>
          <w:lang w:val="fr-CA"/>
        </w:rPr>
        <w:t>;</w:t>
      </w:r>
    </w:p>
    <w:p w14:paraId="57D51AAA" w14:textId="77777777" w:rsidR="00695B41" w:rsidRPr="00E7767B" w:rsidRDefault="00695B41" w:rsidP="00695B41">
      <w:pPr>
        <w:ind w:left="420"/>
        <w:rPr>
          <w:lang w:val="fr-CA"/>
        </w:rPr>
      </w:pPr>
    </w:p>
    <w:p w14:paraId="210792B3" w14:textId="76A64A2A" w:rsidR="00695B41" w:rsidRPr="00E7767B" w:rsidRDefault="00695B41" w:rsidP="00B62635">
      <w:pPr>
        <w:pStyle w:val="ListParagraph"/>
        <w:numPr>
          <w:ilvl w:val="0"/>
          <w:numId w:val="13"/>
        </w:numPr>
        <w:rPr>
          <w:lang w:val="fr-CA"/>
        </w:rPr>
      </w:pPr>
      <w:r w:rsidRPr="00E7767B">
        <w:rPr>
          <w:lang w:val="fr-CA"/>
        </w:rPr>
        <w:t>Informer les représentants des procédures pour déposer une plainte relativement à des comportements interdits tels que définis à la section</w:t>
      </w:r>
      <w:r w:rsidR="00F563FA">
        <w:rPr>
          <w:lang w:val="fr-CA"/>
        </w:rPr>
        <w:t> </w:t>
      </w:r>
      <w:r w:rsidRPr="00E7767B">
        <w:rPr>
          <w:lang w:val="fr-CA"/>
        </w:rPr>
        <w:t>8.</w:t>
      </w:r>
    </w:p>
    <w:p w14:paraId="331CCFFD" w14:textId="1A311EBA" w:rsidR="004F0044" w:rsidRPr="00E7767B" w:rsidRDefault="004F0044">
      <w:pPr>
        <w:rPr>
          <w:lang w:val="fr-CA"/>
        </w:rPr>
      </w:pPr>
    </w:p>
    <w:p w14:paraId="697495E4" w14:textId="6EE47DDE" w:rsidR="00695B41" w:rsidRPr="00E7767B" w:rsidRDefault="00695B41">
      <w:pPr>
        <w:rPr>
          <w:lang w:val="fr-CA"/>
        </w:rPr>
      </w:pPr>
      <w:r w:rsidRPr="00E7767B">
        <w:rPr>
          <w:lang w:val="fr-CA"/>
        </w:rPr>
        <w:t xml:space="preserve">Rien, dans le présent Code, ne vise à </w:t>
      </w:r>
      <w:r w:rsidR="00D01C36">
        <w:rPr>
          <w:lang w:val="fr-CA"/>
        </w:rPr>
        <w:t>retenir</w:t>
      </w:r>
      <w:r w:rsidRPr="00E7767B">
        <w:rPr>
          <w:lang w:val="fr-CA"/>
        </w:rPr>
        <w:t xml:space="preserve"> ou décourager un représentant de l’ACRT de faire appel à d’autres formes de résolution ou </w:t>
      </w:r>
      <w:r w:rsidR="001F532F">
        <w:rPr>
          <w:lang w:val="fr-CA"/>
        </w:rPr>
        <w:t>de prendre</w:t>
      </w:r>
      <w:r w:rsidRPr="00E7767B">
        <w:rPr>
          <w:lang w:val="fr-CA"/>
        </w:rPr>
        <w:t xml:space="preserve"> des actions légales. </w:t>
      </w:r>
    </w:p>
    <w:p w14:paraId="5B6B8787" w14:textId="79B6C226" w:rsidR="002664A8" w:rsidRDefault="002664A8" w:rsidP="00BE76B0">
      <w:pPr>
        <w:rPr>
          <w:lang w:val="fr-CA"/>
        </w:rPr>
      </w:pPr>
    </w:p>
    <w:p w14:paraId="734334B2" w14:textId="77777777" w:rsidR="00A04C54" w:rsidRPr="00E7767B" w:rsidRDefault="00A04C54" w:rsidP="00BE76B0">
      <w:pPr>
        <w:rPr>
          <w:b/>
          <w:lang w:val="fr-CA"/>
        </w:rPr>
      </w:pPr>
    </w:p>
    <w:p w14:paraId="473B2115" w14:textId="34FFC9C3" w:rsidR="00E52CE1" w:rsidRPr="00E7767B" w:rsidRDefault="00094C00" w:rsidP="00ED033F">
      <w:pPr>
        <w:pStyle w:val="TMGenL1"/>
        <w:rPr>
          <w:b/>
          <w:lang w:val="fr-CA"/>
        </w:rPr>
      </w:pPr>
      <w:r w:rsidRPr="00E7767B">
        <w:rPr>
          <w:b/>
          <w:lang w:val="fr-CA"/>
        </w:rPr>
        <w:t>Prévention de conflits</w:t>
      </w:r>
    </w:p>
    <w:p w14:paraId="4270F0B4" w14:textId="5C681547" w:rsidR="00E52CE1" w:rsidRPr="00E7767B" w:rsidRDefault="00E52CE1" w:rsidP="00E52CE1">
      <w:pPr>
        <w:pStyle w:val="TMGenL1"/>
        <w:numPr>
          <w:ilvl w:val="0"/>
          <w:numId w:val="0"/>
        </w:numPr>
        <w:rPr>
          <w:bCs/>
          <w:lang w:val="fr-CA"/>
        </w:rPr>
      </w:pPr>
    </w:p>
    <w:p w14:paraId="20053C9B" w14:textId="2AC8025B" w:rsidR="00C34673" w:rsidRPr="00E7767B" w:rsidRDefault="00C34673" w:rsidP="00E52CE1">
      <w:pPr>
        <w:pStyle w:val="TMGenL1"/>
        <w:numPr>
          <w:ilvl w:val="0"/>
          <w:numId w:val="0"/>
        </w:numPr>
        <w:rPr>
          <w:bCs/>
          <w:lang w:val="fr-CA"/>
        </w:rPr>
      </w:pPr>
      <w:r w:rsidRPr="00E7767B">
        <w:rPr>
          <w:bCs/>
          <w:lang w:val="fr-CA"/>
        </w:rPr>
        <w:t>Si un rapport est déposé concernant le comportement de toute personne étant responsable du présent Code ou détenant une certaine autorité sur celui-ci (par exemple</w:t>
      </w:r>
      <w:r w:rsidR="004163B7">
        <w:rPr>
          <w:bCs/>
          <w:lang w:val="fr-CA"/>
        </w:rPr>
        <w:t> :</w:t>
      </w:r>
      <w:r w:rsidRPr="00E7767B">
        <w:rPr>
          <w:bCs/>
          <w:lang w:val="fr-CA"/>
        </w:rPr>
        <w:t xml:space="preserve"> le directeur, le président ou un membre du </w:t>
      </w:r>
      <w:r w:rsidR="00374A1A">
        <w:rPr>
          <w:bCs/>
          <w:lang w:val="fr-CA"/>
        </w:rPr>
        <w:t>C</w:t>
      </w:r>
      <w:r w:rsidRPr="00E7767B">
        <w:rPr>
          <w:bCs/>
          <w:lang w:val="fr-CA"/>
        </w:rPr>
        <w:t>omité de conduite), cette personne ne doit pas</w:t>
      </w:r>
      <w:r w:rsidR="00374A1A">
        <w:rPr>
          <w:bCs/>
          <w:lang w:val="fr-CA"/>
        </w:rPr>
        <w:t xml:space="preserve"> en</w:t>
      </w:r>
      <w:r w:rsidRPr="00E7767B">
        <w:rPr>
          <w:bCs/>
          <w:lang w:val="fr-CA"/>
        </w:rPr>
        <w:t xml:space="preserve"> être informée et ne doit participer</w:t>
      </w:r>
      <w:r w:rsidR="00374A1A">
        <w:rPr>
          <w:bCs/>
          <w:lang w:val="fr-CA"/>
        </w:rPr>
        <w:t>,</w:t>
      </w:r>
      <w:r w:rsidRPr="00E7767B">
        <w:rPr>
          <w:bCs/>
          <w:lang w:val="fr-CA"/>
        </w:rPr>
        <w:t xml:space="preserve"> à aucun moment</w:t>
      </w:r>
      <w:r w:rsidR="00374A1A">
        <w:rPr>
          <w:bCs/>
          <w:lang w:val="fr-CA"/>
        </w:rPr>
        <w:t>,</w:t>
      </w:r>
      <w:r w:rsidRPr="00E7767B">
        <w:rPr>
          <w:bCs/>
          <w:lang w:val="fr-CA"/>
        </w:rPr>
        <w:t xml:space="preserve"> aux procédures engagées en vertu du</w:t>
      </w:r>
      <w:r w:rsidR="007725D5">
        <w:rPr>
          <w:bCs/>
          <w:lang w:val="fr-CA"/>
        </w:rPr>
        <w:t xml:space="preserve"> présent</w:t>
      </w:r>
      <w:r w:rsidRPr="00E7767B">
        <w:rPr>
          <w:bCs/>
          <w:lang w:val="fr-CA"/>
        </w:rPr>
        <w:t xml:space="preserve"> Code et qui sont en lien avec le rapport.</w:t>
      </w:r>
    </w:p>
    <w:p w14:paraId="0B92D6AE" w14:textId="77777777" w:rsidR="00C34673" w:rsidRPr="00E7767B" w:rsidRDefault="00C34673" w:rsidP="00E52CE1">
      <w:pPr>
        <w:pStyle w:val="TMGenL1"/>
        <w:numPr>
          <w:ilvl w:val="0"/>
          <w:numId w:val="0"/>
        </w:numPr>
        <w:rPr>
          <w:bCs/>
          <w:lang w:val="fr-CA"/>
        </w:rPr>
      </w:pPr>
    </w:p>
    <w:p w14:paraId="7F486E41" w14:textId="4AA42779" w:rsidR="000A7C46" w:rsidRPr="00E7767B" w:rsidRDefault="00BA2A6C" w:rsidP="005F0053">
      <w:pPr>
        <w:rPr>
          <w:lang w:val="fr-CA"/>
        </w:rPr>
      </w:pPr>
      <w:r w:rsidRPr="00E7767B">
        <w:rPr>
          <w:lang w:val="fr-CA"/>
        </w:rPr>
        <w:t xml:space="preserve">Si un rapport est déposé concernant le comportement du président, le </w:t>
      </w:r>
      <w:r w:rsidR="00F84281">
        <w:rPr>
          <w:lang w:val="fr-CA"/>
        </w:rPr>
        <w:t>C</w:t>
      </w:r>
      <w:r w:rsidRPr="00E7767B">
        <w:rPr>
          <w:lang w:val="fr-CA"/>
        </w:rPr>
        <w:t>omité de conduit</w:t>
      </w:r>
      <w:r w:rsidR="00F84281">
        <w:rPr>
          <w:lang w:val="fr-CA"/>
        </w:rPr>
        <w:t>e</w:t>
      </w:r>
      <w:r w:rsidRPr="00E7767B">
        <w:rPr>
          <w:lang w:val="fr-CA"/>
        </w:rPr>
        <w:t xml:space="preserve"> </w:t>
      </w:r>
      <w:r w:rsidR="00F84281">
        <w:rPr>
          <w:lang w:val="fr-CA"/>
        </w:rPr>
        <w:t>relève</w:t>
      </w:r>
      <w:r w:rsidRPr="00E7767B">
        <w:rPr>
          <w:lang w:val="fr-CA"/>
        </w:rPr>
        <w:t xml:space="preserve"> </w:t>
      </w:r>
      <w:r w:rsidR="00F84281">
        <w:rPr>
          <w:lang w:val="fr-CA"/>
        </w:rPr>
        <w:t>du</w:t>
      </w:r>
      <w:r w:rsidRPr="00E7767B">
        <w:rPr>
          <w:lang w:val="fr-CA"/>
        </w:rPr>
        <w:t xml:space="preserve"> vice-président ou</w:t>
      </w:r>
      <w:r w:rsidR="00F84281">
        <w:rPr>
          <w:lang w:val="fr-CA"/>
        </w:rPr>
        <w:t xml:space="preserve"> de</w:t>
      </w:r>
      <w:r w:rsidRPr="00E7767B">
        <w:rPr>
          <w:lang w:val="fr-CA"/>
        </w:rPr>
        <w:t xml:space="preserve"> toute personne désignée par les directeurs. </w:t>
      </w:r>
    </w:p>
    <w:p w14:paraId="4E82B6BD" w14:textId="74498B78" w:rsidR="00E52CE1" w:rsidRDefault="00E52CE1" w:rsidP="00A04C54">
      <w:pPr>
        <w:pStyle w:val="TMGenL1"/>
        <w:numPr>
          <w:ilvl w:val="0"/>
          <w:numId w:val="0"/>
        </w:numPr>
        <w:rPr>
          <w:b/>
          <w:lang w:val="fr-CA"/>
        </w:rPr>
      </w:pPr>
    </w:p>
    <w:p w14:paraId="44786FB5" w14:textId="1383D950" w:rsidR="00A04C54" w:rsidRDefault="00A04C54" w:rsidP="00E52CE1">
      <w:pPr>
        <w:pStyle w:val="TMGenL1"/>
        <w:numPr>
          <w:ilvl w:val="0"/>
          <w:numId w:val="0"/>
        </w:numPr>
        <w:ind w:left="720"/>
        <w:rPr>
          <w:b/>
          <w:lang w:val="fr-CA"/>
        </w:rPr>
      </w:pPr>
    </w:p>
    <w:p w14:paraId="44349BB8" w14:textId="3146AA87" w:rsidR="00F9163F" w:rsidRDefault="00F9163F" w:rsidP="00E52CE1">
      <w:pPr>
        <w:pStyle w:val="TMGenL1"/>
        <w:numPr>
          <w:ilvl w:val="0"/>
          <w:numId w:val="0"/>
        </w:numPr>
        <w:ind w:left="720"/>
        <w:rPr>
          <w:b/>
          <w:lang w:val="fr-CA"/>
        </w:rPr>
      </w:pPr>
    </w:p>
    <w:p w14:paraId="7F08B7DC" w14:textId="0C826351" w:rsidR="00F9163F" w:rsidRDefault="00F9163F" w:rsidP="00E52CE1">
      <w:pPr>
        <w:pStyle w:val="TMGenL1"/>
        <w:numPr>
          <w:ilvl w:val="0"/>
          <w:numId w:val="0"/>
        </w:numPr>
        <w:ind w:left="720"/>
        <w:rPr>
          <w:b/>
          <w:lang w:val="fr-CA"/>
        </w:rPr>
      </w:pPr>
    </w:p>
    <w:p w14:paraId="0128DF97" w14:textId="77777777" w:rsidR="00F9163F" w:rsidRPr="00E7767B" w:rsidRDefault="00F9163F" w:rsidP="00E52CE1">
      <w:pPr>
        <w:pStyle w:val="TMGenL1"/>
        <w:numPr>
          <w:ilvl w:val="0"/>
          <w:numId w:val="0"/>
        </w:numPr>
        <w:ind w:left="720"/>
        <w:rPr>
          <w:b/>
          <w:lang w:val="fr-CA"/>
        </w:rPr>
      </w:pPr>
    </w:p>
    <w:p w14:paraId="07A94017" w14:textId="4EEA19B9" w:rsidR="00BE76B0" w:rsidRPr="00E7767B" w:rsidRDefault="00C020E5" w:rsidP="00ED033F">
      <w:pPr>
        <w:pStyle w:val="TMGenL1"/>
        <w:rPr>
          <w:b/>
          <w:lang w:val="fr-CA"/>
        </w:rPr>
      </w:pPr>
      <w:r w:rsidRPr="00E7767B">
        <w:rPr>
          <w:b/>
          <w:lang w:val="fr-CA"/>
        </w:rPr>
        <w:lastRenderedPageBreak/>
        <w:t xml:space="preserve">Comité de conduite </w:t>
      </w:r>
    </w:p>
    <w:p w14:paraId="030C5427" w14:textId="77777777" w:rsidR="00BE76B0" w:rsidRPr="00E7767B" w:rsidRDefault="00BE76B0" w:rsidP="008252F8">
      <w:pPr>
        <w:jc w:val="both"/>
        <w:rPr>
          <w:color w:val="000000"/>
          <w:lang w:val="fr-CA"/>
        </w:rPr>
      </w:pPr>
    </w:p>
    <w:p w14:paraId="1F85FB36" w14:textId="4097816A" w:rsidR="00CA077B" w:rsidRPr="00E7767B" w:rsidRDefault="00CA077B" w:rsidP="008252F8">
      <w:pPr>
        <w:jc w:val="both"/>
        <w:rPr>
          <w:lang w:val="fr-CA"/>
        </w:rPr>
      </w:pPr>
      <w:r w:rsidRPr="00E7767B">
        <w:rPr>
          <w:lang w:val="fr-CA"/>
        </w:rPr>
        <w:t xml:space="preserve">Les directeurs sont responsables de créer le </w:t>
      </w:r>
      <w:r w:rsidR="00A63F04">
        <w:rPr>
          <w:lang w:val="fr-CA"/>
        </w:rPr>
        <w:t>C</w:t>
      </w:r>
      <w:r w:rsidRPr="00E7767B">
        <w:rPr>
          <w:lang w:val="fr-CA"/>
        </w:rPr>
        <w:t xml:space="preserve">omité de conduite et d’en définir </w:t>
      </w:r>
      <w:r w:rsidR="00B507AA">
        <w:rPr>
          <w:lang w:val="fr-CA"/>
        </w:rPr>
        <w:t xml:space="preserve">périodiquement </w:t>
      </w:r>
      <w:r w:rsidRPr="00E7767B">
        <w:rPr>
          <w:lang w:val="fr-CA"/>
        </w:rPr>
        <w:t xml:space="preserve">le mandat. </w:t>
      </w:r>
    </w:p>
    <w:p w14:paraId="7FCDD585" w14:textId="16854794" w:rsidR="00CA077B" w:rsidRPr="00E7767B" w:rsidRDefault="00CA077B" w:rsidP="008252F8">
      <w:pPr>
        <w:jc w:val="both"/>
        <w:rPr>
          <w:lang w:val="fr-CA"/>
        </w:rPr>
      </w:pPr>
    </w:p>
    <w:p w14:paraId="1217C0C6" w14:textId="187030B7" w:rsidR="00CA077B" w:rsidRPr="00E7767B" w:rsidRDefault="00CA077B" w:rsidP="008252F8">
      <w:pPr>
        <w:jc w:val="both"/>
        <w:rPr>
          <w:lang w:val="fr-CA"/>
        </w:rPr>
      </w:pPr>
      <w:r w:rsidRPr="00E7767B">
        <w:rPr>
          <w:lang w:val="fr-CA"/>
        </w:rPr>
        <w:t xml:space="preserve">Le </w:t>
      </w:r>
      <w:r w:rsidR="00A63F04">
        <w:rPr>
          <w:lang w:val="fr-CA"/>
        </w:rPr>
        <w:t>C</w:t>
      </w:r>
      <w:r w:rsidRPr="00E7767B">
        <w:rPr>
          <w:lang w:val="fr-CA"/>
        </w:rPr>
        <w:t xml:space="preserve">omité de conduite est responsable de surveiller la mise en œuvre et l’application du présent Code en vertu de son mandat, ainsi que de toutes les politiques </w:t>
      </w:r>
      <w:r w:rsidR="007A6852">
        <w:rPr>
          <w:lang w:val="fr-CA"/>
        </w:rPr>
        <w:t xml:space="preserve">applicables </w:t>
      </w:r>
      <w:r w:rsidRPr="00E7767B">
        <w:rPr>
          <w:lang w:val="fr-CA"/>
        </w:rPr>
        <w:t xml:space="preserve">que peuvent créer ou </w:t>
      </w:r>
      <w:r w:rsidR="00F563FA">
        <w:rPr>
          <w:lang w:val="fr-CA"/>
        </w:rPr>
        <w:t>modifi</w:t>
      </w:r>
      <w:r w:rsidRPr="00E7767B">
        <w:rPr>
          <w:lang w:val="fr-CA"/>
        </w:rPr>
        <w:t xml:space="preserve">er les directeurs. </w:t>
      </w:r>
    </w:p>
    <w:p w14:paraId="5BC023EB" w14:textId="7FB861B0" w:rsidR="00E51E03" w:rsidRPr="00E7767B" w:rsidRDefault="00E51E03" w:rsidP="008252F8">
      <w:pPr>
        <w:jc w:val="both"/>
        <w:rPr>
          <w:lang w:val="fr-CA"/>
        </w:rPr>
      </w:pPr>
    </w:p>
    <w:p w14:paraId="5F888C5B" w14:textId="0DD1F19D" w:rsidR="007D6EDE" w:rsidRPr="00E7767B" w:rsidRDefault="007D6EDE" w:rsidP="008252F8">
      <w:pPr>
        <w:jc w:val="both"/>
        <w:rPr>
          <w:lang w:val="fr-CA"/>
        </w:rPr>
      </w:pPr>
      <w:r w:rsidRPr="00E7767B">
        <w:rPr>
          <w:lang w:val="fr-CA"/>
        </w:rPr>
        <w:t xml:space="preserve">Si un rapport est déposé concernant une personne agissant à plus d’un titre en tant que représentant de l’ACRT, le </w:t>
      </w:r>
      <w:r w:rsidR="000E0A71">
        <w:rPr>
          <w:lang w:val="fr-CA"/>
        </w:rPr>
        <w:t>C</w:t>
      </w:r>
      <w:r w:rsidRPr="00E7767B">
        <w:rPr>
          <w:lang w:val="fr-CA"/>
        </w:rPr>
        <w:t>omité de conduite</w:t>
      </w:r>
      <w:r w:rsidR="003824B0" w:rsidRPr="00E7767B">
        <w:rPr>
          <w:lang w:val="fr-CA"/>
        </w:rPr>
        <w:t xml:space="preserve"> a le pouvoir discrétionnaire de déterminer en la qualité de quelle(s) fonction(s) cette personne agissait au moment des comportements interdits allégués</w:t>
      </w:r>
      <w:r w:rsidR="007C7E7F" w:rsidRPr="00E7767B">
        <w:rPr>
          <w:lang w:val="fr-CA"/>
        </w:rPr>
        <w:t>. L</w:t>
      </w:r>
      <w:r w:rsidR="003824B0" w:rsidRPr="00E7767B">
        <w:rPr>
          <w:lang w:val="fr-CA"/>
        </w:rPr>
        <w:t xml:space="preserve">e comité doit déterminer en quelle(s) qualité(s) </w:t>
      </w:r>
      <w:r w:rsidR="007C7E7F" w:rsidRPr="00E7767B">
        <w:rPr>
          <w:lang w:val="fr-CA"/>
        </w:rPr>
        <w:t>la</w:t>
      </w:r>
      <w:r w:rsidR="003824B0" w:rsidRPr="00E7767B">
        <w:rPr>
          <w:lang w:val="fr-CA"/>
        </w:rPr>
        <w:t xml:space="preserve"> personne a agi dès la réception du rapport.  </w:t>
      </w:r>
    </w:p>
    <w:p w14:paraId="1EB7B5CC" w14:textId="77777777" w:rsidR="00E778FC" w:rsidRPr="00E7767B" w:rsidRDefault="00E778FC" w:rsidP="00E778FC">
      <w:pPr>
        <w:rPr>
          <w:lang w:val="fr-CA"/>
        </w:rPr>
      </w:pPr>
    </w:p>
    <w:p w14:paraId="3213E1DA" w14:textId="77777777" w:rsidR="00E51E03" w:rsidRPr="00E7767B" w:rsidRDefault="00E51E03">
      <w:pPr>
        <w:rPr>
          <w:lang w:val="fr-CA"/>
        </w:rPr>
      </w:pPr>
    </w:p>
    <w:p w14:paraId="18DD72A7" w14:textId="426074A5" w:rsidR="003B5F56" w:rsidRPr="00E7767B" w:rsidRDefault="00B511CA" w:rsidP="00104BE9">
      <w:pPr>
        <w:pStyle w:val="TMGenL1"/>
        <w:rPr>
          <w:lang w:val="fr-CA"/>
        </w:rPr>
      </w:pPr>
      <w:r w:rsidRPr="00E7767B">
        <w:rPr>
          <w:b/>
          <w:lang w:val="fr-CA"/>
        </w:rPr>
        <w:t>Comportement interdit</w:t>
      </w:r>
    </w:p>
    <w:p w14:paraId="0967C7F8" w14:textId="1CCF2FC7" w:rsidR="00114CF3" w:rsidRPr="00E7767B" w:rsidRDefault="00114CF3" w:rsidP="006150FC">
      <w:pPr>
        <w:pStyle w:val="TMGenL1"/>
        <w:numPr>
          <w:ilvl w:val="0"/>
          <w:numId w:val="0"/>
        </w:numPr>
        <w:rPr>
          <w:lang w:val="fr-CA"/>
        </w:rPr>
      </w:pPr>
    </w:p>
    <w:p w14:paraId="5368A428" w14:textId="35511EE8" w:rsidR="006150FC" w:rsidRPr="00E7767B" w:rsidRDefault="006150FC" w:rsidP="006150FC">
      <w:pPr>
        <w:pStyle w:val="TMGenL1"/>
        <w:numPr>
          <w:ilvl w:val="0"/>
          <w:numId w:val="0"/>
        </w:numPr>
        <w:rPr>
          <w:lang w:val="fr-CA"/>
        </w:rPr>
      </w:pPr>
      <w:r w:rsidRPr="00E7767B">
        <w:rPr>
          <w:lang w:val="fr-CA"/>
        </w:rPr>
        <w:t xml:space="preserve">Les actes et les comportements ci-dessous </w:t>
      </w:r>
      <w:r w:rsidR="001E1AA3" w:rsidRPr="00E7767B">
        <w:rPr>
          <w:lang w:val="fr-CA"/>
        </w:rPr>
        <w:t>décrivent</w:t>
      </w:r>
      <w:r w:rsidRPr="00E7767B">
        <w:rPr>
          <w:lang w:val="fr-CA"/>
        </w:rPr>
        <w:t xml:space="preserve"> les comportements interdits en vertu du présent Code. </w:t>
      </w:r>
    </w:p>
    <w:p w14:paraId="5C489683" w14:textId="67C310E1" w:rsidR="006150FC" w:rsidRPr="00E7767B" w:rsidRDefault="006150FC" w:rsidP="006150FC">
      <w:pPr>
        <w:pStyle w:val="TMGenL1"/>
        <w:numPr>
          <w:ilvl w:val="0"/>
          <w:numId w:val="0"/>
        </w:numPr>
        <w:rPr>
          <w:lang w:val="fr-CA"/>
        </w:rPr>
      </w:pPr>
    </w:p>
    <w:p w14:paraId="24935849" w14:textId="527602C1" w:rsidR="007E1D8B" w:rsidRPr="00E7767B" w:rsidRDefault="006150FC" w:rsidP="008252F8">
      <w:pPr>
        <w:pStyle w:val="TMGenL1"/>
        <w:numPr>
          <w:ilvl w:val="0"/>
          <w:numId w:val="0"/>
        </w:numPr>
        <w:rPr>
          <w:lang w:val="fr-CA"/>
        </w:rPr>
      </w:pPr>
      <w:r w:rsidRPr="00E7767B">
        <w:rPr>
          <w:lang w:val="fr-CA"/>
        </w:rPr>
        <w:t xml:space="preserve">Ce </w:t>
      </w:r>
      <w:r w:rsidR="005613AF" w:rsidRPr="00E7767B">
        <w:rPr>
          <w:lang w:val="fr-CA"/>
        </w:rPr>
        <w:t>C</w:t>
      </w:r>
      <w:r w:rsidRPr="00E7767B">
        <w:rPr>
          <w:lang w:val="fr-CA"/>
        </w:rPr>
        <w:t xml:space="preserve">ode interdit la </w:t>
      </w:r>
      <w:r w:rsidRPr="00E7767B">
        <w:rPr>
          <w:b/>
          <w:bCs/>
          <w:i/>
          <w:iCs/>
          <w:lang w:val="fr-CA"/>
        </w:rPr>
        <w:t>discrimination</w:t>
      </w:r>
      <w:r w:rsidRPr="00E7767B">
        <w:rPr>
          <w:i/>
          <w:iCs/>
          <w:lang w:val="fr-CA"/>
        </w:rPr>
        <w:t xml:space="preserve"> </w:t>
      </w:r>
      <w:r w:rsidRPr="00E7767B">
        <w:rPr>
          <w:lang w:val="fr-CA"/>
        </w:rPr>
        <w:t xml:space="preserve">et le </w:t>
      </w:r>
      <w:r w:rsidRPr="00E7767B">
        <w:rPr>
          <w:b/>
          <w:bCs/>
          <w:i/>
          <w:iCs/>
          <w:lang w:val="fr-CA"/>
        </w:rPr>
        <w:t>harcèlement</w:t>
      </w:r>
      <w:r w:rsidRPr="00E7767B">
        <w:rPr>
          <w:i/>
          <w:iCs/>
          <w:lang w:val="fr-CA"/>
        </w:rPr>
        <w:t xml:space="preserve"> </w:t>
      </w:r>
      <w:r w:rsidRPr="00E7767B">
        <w:rPr>
          <w:lang w:val="fr-CA"/>
        </w:rPr>
        <w:t xml:space="preserve">basés sur </w:t>
      </w:r>
      <w:r w:rsidR="00171961" w:rsidRPr="00E7767B">
        <w:rPr>
          <w:lang w:val="fr-CA"/>
        </w:rPr>
        <w:t xml:space="preserve">un ou plusieurs des motifs suivants : âge, religion, sexe, race, invalidité, orientation sexuelle, identité de genre et expression sexuelle, état matrimonial, situation de la famille, origine ethnique, lieu de provenance, ascendance, citoyenneté, couleur, </w:t>
      </w:r>
      <w:r w:rsidR="005613AF" w:rsidRPr="00E7767B">
        <w:rPr>
          <w:lang w:val="fr-CA"/>
        </w:rPr>
        <w:t xml:space="preserve">ou </w:t>
      </w:r>
      <w:r w:rsidR="00171961" w:rsidRPr="00E7767B">
        <w:rPr>
          <w:lang w:val="fr-CA"/>
        </w:rPr>
        <w:t xml:space="preserve">condamnation pour un délit pour lequel un pardon a été octroyé ou une suspension du casier a été ordonnée.   </w:t>
      </w:r>
      <w:r w:rsidRPr="00E7767B">
        <w:rPr>
          <w:lang w:val="fr-CA"/>
        </w:rPr>
        <w:t xml:space="preserve"> </w:t>
      </w:r>
    </w:p>
    <w:p w14:paraId="1EBA1642" w14:textId="77777777" w:rsidR="00F70499" w:rsidRPr="00E7767B" w:rsidRDefault="00F70499" w:rsidP="008252F8">
      <w:pPr>
        <w:jc w:val="both"/>
        <w:rPr>
          <w:lang w:val="fr-CA"/>
        </w:rPr>
      </w:pPr>
    </w:p>
    <w:p w14:paraId="181EA873" w14:textId="41296895" w:rsidR="00C22B6E" w:rsidRPr="00E7767B" w:rsidRDefault="002821B0" w:rsidP="008252F8">
      <w:pPr>
        <w:pStyle w:val="ListParagraph"/>
        <w:numPr>
          <w:ilvl w:val="0"/>
          <w:numId w:val="8"/>
        </w:numPr>
        <w:jc w:val="both"/>
        <w:rPr>
          <w:lang w:val="fr-CA"/>
        </w:rPr>
      </w:pPr>
      <w:r w:rsidRPr="00E7767B">
        <w:rPr>
          <w:bCs/>
          <w:iCs/>
          <w:lang w:val="fr-CA"/>
        </w:rPr>
        <w:t>La</w:t>
      </w:r>
      <w:r w:rsidRPr="00E7767B">
        <w:rPr>
          <w:b/>
          <w:iCs/>
          <w:lang w:val="fr-CA"/>
        </w:rPr>
        <w:t xml:space="preserve"> </w:t>
      </w:r>
      <w:r w:rsidRPr="00E7767B">
        <w:rPr>
          <w:b/>
          <w:i/>
          <w:lang w:val="fr-CA"/>
        </w:rPr>
        <w:t>d</w:t>
      </w:r>
      <w:r w:rsidR="00F70499" w:rsidRPr="00E7767B">
        <w:rPr>
          <w:b/>
          <w:i/>
          <w:lang w:val="fr-CA"/>
        </w:rPr>
        <w:t>iscrimination</w:t>
      </w:r>
      <w:r w:rsidR="00C22B6E" w:rsidRPr="00E7767B">
        <w:rPr>
          <w:lang w:val="fr-CA"/>
        </w:rPr>
        <w:t> </w:t>
      </w:r>
      <w:r w:rsidRPr="00E7767B">
        <w:rPr>
          <w:lang w:val="fr-CA"/>
        </w:rPr>
        <w:t xml:space="preserve">signifie toute forme d’inégalité basée sur les motifs susmentionnés. La discrimination emprunte diverses formes aux effets variés et qui peuvent sembler évidentes, subtiles ou anodines. </w:t>
      </w:r>
    </w:p>
    <w:p w14:paraId="3D85C1BB" w14:textId="77777777" w:rsidR="00F70499" w:rsidRPr="00E7767B" w:rsidRDefault="00F70499" w:rsidP="008252F8">
      <w:pPr>
        <w:jc w:val="both"/>
        <w:rPr>
          <w:lang w:val="fr-CA"/>
        </w:rPr>
      </w:pPr>
    </w:p>
    <w:p w14:paraId="4EE900EF" w14:textId="3DFB2583" w:rsidR="000F2291" w:rsidRPr="00E7767B" w:rsidRDefault="000F2291" w:rsidP="008252F8">
      <w:pPr>
        <w:pStyle w:val="ListParagraph"/>
        <w:numPr>
          <w:ilvl w:val="0"/>
          <w:numId w:val="8"/>
        </w:numPr>
        <w:jc w:val="both"/>
        <w:rPr>
          <w:lang w:val="fr-CA"/>
        </w:rPr>
      </w:pPr>
      <w:r w:rsidRPr="00E7767B">
        <w:rPr>
          <w:lang w:val="fr-CA"/>
        </w:rPr>
        <w:t xml:space="preserve">Le </w:t>
      </w:r>
      <w:r w:rsidRPr="00E7767B">
        <w:rPr>
          <w:b/>
          <w:bCs/>
          <w:i/>
          <w:iCs/>
          <w:lang w:val="fr-CA"/>
        </w:rPr>
        <w:t xml:space="preserve">harcèlement </w:t>
      </w:r>
      <w:r w:rsidR="00A01488" w:rsidRPr="00E7767B">
        <w:rPr>
          <w:lang w:val="fr-CA"/>
        </w:rPr>
        <w:t>comprend</w:t>
      </w:r>
      <w:r w:rsidR="00C73DCE" w:rsidRPr="00E7767B">
        <w:rPr>
          <w:lang w:val="fr-CA"/>
        </w:rPr>
        <w:t xml:space="preserve"> tout propos ou comportement </w:t>
      </w:r>
      <w:r w:rsidR="00684165" w:rsidRPr="00E7767B">
        <w:rPr>
          <w:lang w:val="fr-CA"/>
        </w:rPr>
        <w:t xml:space="preserve">dont l’auteur sait ou devrait savoir qu’il est importun. Cela peut recouvrir des mots ou des actions touchant aux motifs susmentionnés et dont l’auteur sait ou devrait savoir qu’ils sont offensants, gênants, humiliants, dégradants ou importuns. </w:t>
      </w:r>
    </w:p>
    <w:p w14:paraId="141286F6" w14:textId="77777777" w:rsidR="008A618F" w:rsidRPr="00E7767B" w:rsidRDefault="008A618F" w:rsidP="008252F8">
      <w:pPr>
        <w:jc w:val="both"/>
        <w:rPr>
          <w:lang w:val="fr-CA"/>
        </w:rPr>
      </w:pPr>
    </w:p>
    <w:p w14:paraId="25D04D28" w14:textId="510DDF17" w:rsidR="0017511D" w:rsidRPr="00E7767B" w:rsidRDefault="00C968AB" w:rsidP="008252F8">
      <w:pPr>
        <w:jc w:val="both"/>
        <w:rPr>
          <w:lang w:val="fr-CA"/>
        </w:rPr>
      </w:pPr>
      <w:r w:rsidRPr="00E7767B">
        <w:rPr>
          <w:lang w:val="fr-CA"/>
        </w:rPr>
        <w:t xml:space="preserve">Ce Code interdit le harcèlement sexuel. Le </w:t>
      </w:r>
      <w:r w:rsidRPr="00E7767B">
        <w:rPr>
          <w:b/>
          <w:bCs/>
          <w:i/>
          <w:iCs/>
          <w:lang w:val="fr-CA"/>
        </w:rPr>
        <w:t>harcèlement sexuel</w:t>
      </w:r>
      <w:r w:rsidRPr="00E7767B">
        <w:rPr>
          <w:i/>
          <w:iCs/>
          <w:lang w:val="fr-CA"/>
        </w:rPr>
        <w:t xml:space="preserve"> </w:t>
      </w:r>
      <w:r w:rsidRPr="00E7767B">
        <w:rPr>
          <w:lang w:val="fr-CA"/>
        </w:rPr>
        <w:t>est défini par </w:t>
      </w:r>
      <w:r w:rsidR="00F5456C" w:rsidRPr="00E7767B">
        <w:rPr>
          <w:lang w:val="fr-CA"/>
        </w:rPr>
        <w:t xml:space="preserve">l’une ou l’autre des </w:t>
      </w:r>
      <w:r w:rsidR="009B43DB">
        <w:rPr>
          <w:lang w:val="fr-CA"/>
        </w:rPr>
        <w:t>acceptions</w:t>
      </w:r>
      <w:r w:rsidR="00F5456C" w:rsidRPr="00E7767B">
        <w:rPr>
          <w:lang w:val="fr-CA"/>
        </w:rPr>
        <w:t xml:space="preserve"> suivantes</w:t>
      </w:r>
      <w:r w:rsidR="00F563FA">
        <w:rPr>
          <w:lang w:val="fr-CA"/>
        </w:rPr>
        <w:t> </w:t>
      </w:r>
      <w:r w:rsidRPr="00E7767B">
        <w:rPr>
          <w:lang w:val="fr-CA"/>
        </w:rPr>
        <w:t xml:space="preserve">: </w:t>
      </w:r>
    </w:p>
    <w:p w14:paraId="432CBD71" w14:textId="77777777" w:rsidR="0017511D" w:rsidRPr="00E7767B" w:rsidRDefault="0017511D" w:rsidP="008252F8">
      <w:pPr>
        <w:jc w:val="both"/>
        <w:rPr>
          <w:lang w:val="fr-CA"/>
        </w:rPr>
      </w:pPr>
    </w:p>
    <w:p w14:paraId="518ABBEF" w14:textId="7FBDD4F3" w:rsidR="00A01488" w:rsidRPr="00E7767B" w:rsidRDefault="00A01488" w:rsidP="008252F8">
      <w:pPr>
        <w:pStyle w:val="ListParagraph"/>
        <w:numPr>
          <w:ilvl w:val="0"/>
          <w:numId w:val="10"/>
        </w:numPr>
        <w:jc w:val="both"/>
        <w:rPr>
          <w:lang w:val="fr-CA"/>
        </w:rPr>
      </w:pPr>
      <w:r w:rsidRPr="00E7767B">
        <w:rPr>
          <w:lang w:val="fr-CA"/>
        </w:rPr>
        <w:t>Le fait pour une personne de s’adonner à des remarques ou à des gestes vexatoires basés sur le sexe, l’orientation sexuelle, l’identité de genre ou l’expression sexuelle lorsque l’auteur de tels propos ou comportements sait ou devrait savoir qu’ils sont importuns</w:t>
      </w:r>
      <w:r w:rsidR="00F563FA">
        <w:rPr>
          <w:lang w:val="fr-CA"/>
        </w:rPr>
        <w:t> </w:t>
      </w:r>
      <w:r w:rsidRPr="00E7767B">
        <w:rPr>
          <w:lang w:val="fr-CA"/>
        </w:rPr>
        <w:t>;</w:t>
      </w:r>
    </w:p>
    <w:p w14:paraId="45DCD823" w14:textId="77777777" w:rsidR="00A01488" w:rsidRPr="00E7767B" w:rsidRDefault="00A01488" w:rsidP="008252F8">
      <w:pPr>
        <w:pStyle w:val="ListParagraph"/>
        <w:ind w:left="780"/>
        <w:jc w:val="both"/>
        <w:rPr>
          <w:lang w:val="fr-CA"/>
        </w:rPr>
      </w:pPr>
    </w:p>
    <w:p w14:paraId="264F0C8D" w14:textId="77777777" w:rsidR="0017511D" w:rsidRPr="00E7767B" w:rsidRDefault="0017511D" w:rsidP="008252F8">
      <w:pPr>
        <w:pStyle w:val="ListParagraph"/>
        <w:ind w:left="780"/>
        <w:jc w:val="both"/>
        <w:rPr>
          <w:lang w:val="fr-CA"/>
        </w:rPr>
      </w:pPr>
      <w:r w:rsidRPr="00E7767B">
        <w:rPr>
          <w:lang w:val="fr-CA"/>
        </w:rPr>
        <w:t xml:space="preserve"> </w:t>
      </w:r>
    </w:p>
    <w:p w14:paraId="158466F7" w14:textId="22DBD4E4" w:rsidR="00F5456C" w:rsidRPr="00E45039" w:rsidRDefault="00F5456C" w:rsidP="00E45039">
      <w:pPr>
        <w:pStyle w:val="ListParagraph"/>
        <w:numPr>
          <w:ilvl w:val="0"/>
          <w:numId w:val="10"/>
        </w:numPr>
        <w:jc w:val="both"/>
        <w:rPr>
          <w:lang w:val="fr-CA"/>
        </w:rPr>
      </w:pPr>
      <w:r w:rsidRPr="00E7767B">
        <w:rPr>
          <w:lang w:val="fr-CA"/>
        </w:rPr>
        <w:lastRenderedPageBreak/>
        <w:t xml:space="preserve">Le fait pour une personne de solliciter ou de faire des avances sexuelles lorsque </w:t>
      </w:r>
      <w:r w:rsidR="00012522">
        <w:rPr>
          <w:lang w:val="fr-CA"/>
        </w:rPr>
        <w:t>cette personne</w:t>
      </w:r>
      <w:r w:rsidRPr="00E7767B">
        <w:rPr>
          <w:lang w:val="fr-CA"/>
        </w:rPr>
        <w:t xml:space="preserve"> est en position de conférer, </w:t>
      </w:r>
      <w:r w:rsidR="00012522">
        <w:rPr>
          <w:lang w:val="fr-CA"/>
        </w:rPr>
        <w:t xml:space="preserve">de </w:t>
      </w:r>
      <w:r w:rsidRPr="00E7767B">
        <w:rPr>
          <w:lang w:val="fr-CA"/>
        </w:rPr>
        <w:t xml:space="preserve">donner ou </w:t>
      </w:r>
      <w:r w:rsidR="00012522">
        <w:rPr>
          <w:lang w:val="fr-CA"/>
        </w:rPr>
        <w:t xml:space="preserve">de </w:t>
      </w:r>
      <w:r w:rsidRPr="00E7767B">
        <w:rPr>
          <w:lang w:val="fr-CA"/>
        </w:rPr>
        <w:t>dénier un bénéfice ou un avantage à l’autre personne</w:t>
      </w:r>
      <w:r w:rsidR="00012522">
        <w:rPr>
          <w:lang w:val="fr-CA"/>
        </w:rPr>
        <w:t>,</w:t>
      </w:r>
      <w:r w:rsidRPr="00E7767B">
        <w:rPr>
          <w:lang w:val="fr-CA"/>
        </w:rPr>
        <w:t xml:space="preserve"> et sait ou devrait savoir que de tels propos ou comportements sont importuns.</w:t>
      </w:r>
    </w:p>
    <w:p w14:paraId="6068AE1A" w14:textId="2E18DE44" w:rsidR="0017511D" w:rsidRPr="00E7767B" w:rsidRDefault="0017511D" w:rsidP="008252F8">
      <w:pPr>
        <w:pStyle w:val="ListParagraph"/>
        <w:jc w:val="both"/>
        <w:rPr>
          <w:lang w:val="fr-CA"/>
        </w:rPr>
      </w:pPr>
    </w:p>
    <w:p w14:paraId="0B139B0B" w14:textId="7CAC9840" w:rsidR="00FA61F5" w:rsidRPr="00E7767B" w:rsidRDefault="00FA61F5" w:rsidP="008252F8">
      <w:pPr>
        <w:jc w:val="both"/>
        <w:rPr>
          <w:lang w:val="fr-CA"/>
        </w:rPr>
      </w:pPr>
      <w:r w:rsidRPr="00E7767B">
        <w:rPr>
          <w:lang w:val="fr-CA"/>
        </w:rPr>
        <w:t>Il peut arriver qu’un seul incident</w:t>
      </w:r>
      <w:r w:rsidR="00E45039">
        <w:rPr>
          <w:lang w:val="fr-CA"/>
        </w:rPr>
        <w:t xml:space="preserve">, </w:t>
      </w:r>
      <w:r w:rsidRPr="00E7767B">
        <w:rPr>
          <w:lang w:val="fr-CA"/>
        </w:rPr>
        <w:t xml:space="preserve">acte ou comportement inapproprié </w:t>
      </w:r>
      <w:r w:rsidR="000506C8" w:rsidRPr="00E7767B">
        <w:rPr>
          <w:lang w:val="fr-CA"/>
        </w:rPr>
        <w:t>signalé</w:t>
      </w:r>
      <w:r w:rsidRPr="00E7767B">
        <w:rPr>
          <w:lang w:val="fr-CA"/>
        </w:rPr>
        <w:t xml:space="preserve"> soit suffisant pour être considéré comme du </w:t>
      </w:r>
      <w:r w:rsidRPr="00E7767B">
        <w:rPr>
          <w:b/>
          <w:bCs/>
          <w:i/>
          <w:iCs/>
          <w:lang w:val="fr-CA"/>
        </w:rPr>
        <w:t>harcèlement</w:t>
      </w:r>
      <w:r w:rsidRPr="00E7767B">
        <w:rPr>
          <w:lang w:val="fr-CA"/>
        </w:rPr>
        <w:t xml:space="preserve"> ou du </w:t>
      </w:r>
      <w:r w:rsidRPr="00E7767B">
        <w:rPr>
          <w:b/>
          <w:bCs/>
          <w:i/>
          <w:iCs/>
          <w:lang w:val="fr-CA"/>
        </w:rPr>
        <w:t>harcèlement sexuel</w:t>
      </w:r>
      <w:r w:rsidRPr="00E7767B">
        <w:rPr>
          <w:lang w:val="fr-CA"/>
        </w:rPr>
        <w:t xml:space="preserve">. </w:t>
      </w:r>
    </w:p>
    <w:p w14:paraId="1B9EF3F9" w14:textId="77777777" w:rsidR="00FA61F5" w:rsidRPr="00E7767B" w:rsidRDefault="00FA61F5" w:rsidP="008252F8">
      <w:pPr>
        <w:jc w:val="both"/>
        <w:rPr>
          <w:lang w:val="fr-CA"/>
        </w:rPr>
      </w:pPr>
    </w:p>
    <w:p w14:paraId="3C1C0170" w14:textId="6C98B852" w:rsidR="007A3DE5" w:rsidRPr="00E7767B" w:rsidRDefault="00FA61F5" w:rsidP="008252F8">
      <w:pPr>
        <w:jc w:val="both"/>
        <w:rPr>
          <w:lang w:val="fr-CA"/>
        </w:rPr>
      </w:pPr>
      <w:r w:rsidRPr="00E7767B">
        <w:rPr>
          <w:lang w:val="fr-CA"/>
        </w:rPr>
        <w:t xml:space="preserve">Ce Code interdit les </w:t>
      </w:r>
      <w:r w:rsidRPr="00E7767B">
        <w:rPr>
          <w:b/>
          <w:bCs/>
          <w:i/>
          <w:iCs/>
          <w:lang w:val="fr-CA"/>
        </w:rPr>
        <w:t>représailles</w:t>
      </w:r>
      <w:r w:rsidRPr="00E7767B">
        <w:rPr>
          <w:lang w:val="fr-CA"/>
        </w:rPr>
        <w:t xml:space="preserve"> ou les </w:t>
      </w:r>
      <w:r w:rsidRPr="00E7767B">
        <w:rPr>
          <w:b/>
          <w:bCs/>
          <w:i/>
          <w:iCs/>
          <w:lang w:val="fr-CA"/>
        </w:rPr>
        <w:t>menaces de représailles</w:t>
      </w:r>
      <w:r w:rsidRPr="00E7767B">
        <w:rPr>
          <w:lang w:val="fr-CA"/>
        </w:rPr>
        <w:t xml:space="preserve"> suite </w:t>
      </w:r>
      <w:r w:rsidR="001A55FA">
        <w:rPr>
          <w:lang w:val="fr-CA"/>
        </w:rPr>
        <w:t>au dépôt</w:t>
      </w:r>
      <w:r w:rsidRPr="00E7767B">
        <w:rPr>
          <w:lang w:val="fr-CA"/>
        </w:rPr>
        <w:t xml:space="preserve"> </w:t>
      </w:r>
      <w:r w:rsidR="001A55FA">
        <w:rPr>
          <w:lang w:val="fr-CA"/>
        </w:rPr>
        <w:t>d’</w:t>
      </w:r>
      <w:r w:rsidRPr="00E7767B">
        <w:rPr>
          <w:lang w:val="fr-CA"/>
        </w:rPr>
        <w:t xml:space="preserve">un rapport </w:t>
      </w:r>
      <w:r w:rsidR="001A55FA">
        <w:rPr>
          <w:lang w:val="fr-CA"/>
        </w:rPr>
        <w:t>rédigé</w:t>
      </w:r>
      <w:r w:rsidRPr="00E7767B">
        <w:rPr>
          <w:lang w:val="fr-CA"/>
        </w:rPr>
        <w:t xml:space="preserve"> de bonne foi. Les représailles et les menaces de représailles sont également des comportements interdits en vertu du présent Code. </w:t>
      </w:r>
    </w:p>
    <w:p w14:paraId="6648DE33" w14:textId="77777777" w:rsidR="00FA61F5" w:rsidRPr="00E7767B" w:rsidRDefault="00FA61F5" w:rsidP="008252F8">
      <w:pPr>
        <w:jc w:val="both"/>
        <w:rPr>
          <w:lang w:val="fr-CA"/>
        </w:rPr>
      </w:pPr>
    </w:p>
    <w:p w14:paraId="7862D2F2" w14:textId="77777777" w:rsidR="00A776DC" w:rsidRPr="00E7767B" w:rsidRDefault="00A776DC" w:rsidP="008252F8">
      <w:pPr>
        <w:jc w:val="both"/>
        <w:rPr>
          <w:lang w:val="fr-CA"/>
        </w:rPr>
      </w:pPr>
    </w:p>
    <w:p w14:paraId="629FAFE8" w14:textId="557F1A23" w:rsidR="000506C8" w:rsidRPr="00E7767B" w:rsidRDefault="000506C8" w:rsidP="008252F8">
      <w:pPr>
        <w:pStyle w:val="TMGenL1"/>
        <w:rPr>
          <w:b/>
          <w:lang w:val="fr-CA"/>
        </w:rPr>
      </w:pPr>
      <w:r w:rsidRPr="00E7767B">
        <w:rPr>
          <w:b/>
          <w:lang w:val="fr-CA"/>
        </w:rPr>
        <w:t xml:space="preserve">Comment signaler </w:t>
      </w:r>
      <w:r w:rsidR="00BA62DF" w:rsidRPr="00E7767B">
        <w:rPr>
          <w:b/>
          <w:lang w:val="fr-CA"/>
        </w:rPr>
        <w:t>un</w:t>
      </w:r>
      <w:r w:rsidRPr="00E7767B">
        <w:rPr>
          <w:b/>
          <w:lang w:val="fr-CA"/>
        </w:rPr>
        <w:t xml:space="preserve"> comportement interdit</w:t>
      </w:r>
    </w:p>
    <w:p w14:paraId="72CFDC2A" w14:textId="6C3BA085" w:rsidR="00A776DC" w:rsidRPr="00E7767B" w:rsidRDefault="00A776DC" w:rsidP="008252F8">
      <w:pPr>
        <w:jc w:val="both"/>
        <w:rPr>
          <w:lang w:val="fr-CA"/>
        </w:rPr>
      </w:pPr>
    </w:p>
    <w:p w14:paraId="4689F318" w14:textId="0DFD152F" w:rsidR="00A322FD" w:rsidRPr="00E7767B" w:rsidRDefault="00A322FD" w:rsidP="008252F8">
      <w:pPr>
        <w:jc w:val="both"/>
        <w:rPr>
          <w:lang w:val="fr-CA"/>
        </w:rPr>
      </w:pPr>
      <w:r w:rsidRPr="00E7767B">
        <w:rPr>
          <w:lang w:val="fr-CA"/>
        </w:rPr>
        <w:t>Les représentants de l’ACRT sont encourag</w:t>
      </w:r>
      <w:r w:rsidR="00674DBF" w:rsidRPr="00E7767B">
        <w:rPr>
          <w:lang w:val="fr-CA"/>
        </w:rPr>
        <w:t>é</w:t>
      </w:r>
      <w:r w:rsidRPr="00E7767B">
        <w:rPr>
          <w:lang w:val="fr-CA"/>
        </w:rPr>
        <w:t xml:space="preserve">s à signaler tout comportement interdit au </w:t>
      </w:r>
      <w:r w:rsidR="00054C93">
        <w:rPr>
          <w:lang w:val="fr-CA"/>
        </w:rPr>
        <w:t>C</w:t>
      </w:r>
      <w:r w:rsidRPr="00E7767B">
        <w:rPr>
          <w:lang w:val="fr-CA"/>
        </w:rPr>
        <w:t xml:space="preserve">omité de conduite par courriel au </w:t>
      </w:r>
      <w:hyperlink r:id="rId8" w:history="1">
        <w:r w:rsidRPr="00E7767B">
          <w:rPr>
            <w:rStyle w:val="Hyperlink"/>
            <w:lang w:val="fr-CA"/>
          </w:rPr>
          <w:t>catr.conduct@gmail.com</w:t>
        </w:r>
      </w:hyperlink>
      <w:r w:rsidRPr="00E7767B">
        <w:rPr>
          <w:lang w:val="fr-CA"/>
        </w:rPr>
        <w:t xml:space="preserve"> ou directement à un membre du </w:t>
      </w:r>
      <w:r w:rsidR="00054C93">
        <w:rPr>
          <w:lang w:val="fr-CA"/>
        </w:rPr>
        <w:t>C</w:t>
      </w:r>
      <w:r w:rsidRPr="00E7767B">
        <w:rPr>
          <w:lang w:val="fr-CA"/>
        </w:rPr>
        <w:t xml:space="preserve">omité de conduite. Si le rapport est fait en personne, deux membres du </w:t>
      </w:r>
      <w:r w:rsidR="00EB2B9B">
        <w:rPr>
          <w:lang w:val="fr-CA"/>
        </w:rPr>
        <w:t>C</w:t>
      </w:r>
      <w:r w:rsidRPr="00E7767B">
        <w:rPr>
          <w:lang w:val="fr-CA"/>
        </w:rPr>
        <w:t>omité de conduit</w:t>
      </w:r>
      <w:r w:rsidR="00EB2B9B">
        <w:rPr>
          <w:lang w:val="fr-CA"/>
        </w:rPr>
        <w:t>e</w:t>
      </w:r>
      <w:r w:rsidRPr="00E7767B">
        <w:rPr>
          <w:lang w:val="fr-CA"/>
        </w:rPr>
        <w:t xml:space="preserve"> reçoivent le rapport et prennent des notes lors de la discussion. Ces notes tiennent lieu de rapport. </w:t>
      </w:r>
    </w:p>
    <w:p w14:paraId="4C43B2A5" w14:textId="77777777" w:rsidR="00A322FD" w:rsidRPr="00E7767B" w:rsidRDefault="00A322FD" w:rsidP="008252F8">
      <w:pPr>
        <w:jc w:val="both"/>
        <w:rPr>
          <w:lang w:val="fr-CA"/>
        </w:rPr>
      </w:pPr>
    </w:p>
    <w:p w14:paraId="2FE1F469" w14:textId="5BAC8266" w:rsidR="00850481" w:rsidRPr="00E7767B" w:rsidRDefault="00850481" w:rsidP="008252F8">
      <w:pPr>
        <w:jc w:val="both"/>
        <w:rPr>
          <w:lang w:val="fr-CA"/>
        </w:rPr>
      </w:pPr>
      <w:r w:rsidRPr="00E7767B">
        <w:rPr>
          <w:lang w:val="fr-CA"/>
        </w:rPr>
        <w:t xml:space="preserve">Les représentants de l’ACRT sont encouragés à déposer </w:t>
      </w:r>
      <w:r w:rsidR="00863E5E" w:rsidRPr="00E7767B">
        <w:rPr>
          <w:lang w:val="fr-CA"/>
        </w:rPr>
        <w:t>leur</w:t>
      </w:r>
      <w:r w:rsidRPr="00E7767B">
        <w:rPr>
          <w:lang w:val="fr-CA"/>
        </w:rPr>
        <w:t xml:space="preserve"> rapport</w:t>
      </w:r>
      <w:r w:rsidR="00863E5E" w:rsidRPr="00E7767B">
        <w:rPr>
          <w:lang w:val="fr-CA"/>
        </w:rPr>
        <w:t xml:space="preserve"> pour </w:t>
      </w:r>
      <w:r w:rsidR="004723C3" w:rsidRPr="00E7767B">
        <w:rPr>
          <w:lang w:val="fr-CA"/>
        </w:rPr>
        <w:t xml:space="preserve">allégation d’un </w:t>
      </w:r>
      <w:r w:rsidR="00863E5E" w:rsidRPr="00E7767B">
        <w:rPr>
          <w:lang w:val="fr-CA"/>
        </w:rPr>
        <w:t xml:space="preserve">comportement interdit </w:t>
      </w:r>
      <w:r w:rsidRPr="00E7767B">
        <w:rPr>
          <w:lang w:val="fr-CA"/>
        </w:rPr>
        <w:t xml:space="preserve">le plus tôt possible à la suite </w:t>
      </w:r>
      <w:r w:rsidR="00D27259">
        <w:rPr>
          <w:lang w:val="fr-CA"/>
        </w:rPr>
        <w:t>de</w:t>
      </w:r>
      <w:r w:rsidRPr="00E7767B">
        <w:rPr>
          <w:lang w:val="fr-CA"/>
        </w:rPr>
        <w:t xml:space="preserve"> </w:t>
      </w:r>
      <w:r w:rsidR="00863E5E" w:rsidRPr="00E7767B">
        <w:rPr>
          <w:lang w:val="fr-CA"/>
        </w:rPr>
        <w:t>l’incident</w:t>
      </w:r>
      <w:r w:rsidRPr="00E7767B">
        <w:rPr>
          <w:lang w:val="fr-CA"/>
        </w:rPr>
        <w:t xml:space="preserve"> afin qu’une enquête soit déployée </w:t>
      </w:r>
      <w:r w:rsidR="00F032E1" w:rsidRPr="00E7767B">
        <w:rPr>
          <w:lang w:val="fr-CA"/>
        </w:rPr>
        <w:t>dans des délais convenables</w:t>
      </w:r>
      <w:r w:rsidRPr="00E7767B">
        <w:rPr>
          <w:lang w:val="fr-CA"/>
        </w:rPr>
        <w:t xml:space="preserve"> et de façon appropriée.  </w:t>
      </w:r>
    </w:p>
    <w:p w14:paraId="266D9F2C" w14:textId="00F01EC4" w:rsidR="00850481" w:rsidRPr="00E7767B" w:rsidRDefault="00850481" w:rsidP="008252F8">
      <w:pPr>
        <w:jc w:val="both"/>
        <w:rPr>
          <w:lang w:val="fr-CA"/>
        </w:rPr>
      </w:pPr>
    </w:p>
    <w:p w14:paraId="16D8E786" w14:textId="6AF20C73" w:rsidR="00CC50C3" w:rsidRPr="00E7767B" w:rsidRDefault="00CC50C3" w:rsidP="008252F8">
      <w:pPr>
        <w:jc w:val="both"/>
        <w:rPr>
          <w:lang w:val="fr-CA"/>
        </w:rPr>
      </w:pPr>
      <w:r w:rsidRPr="00E7767B">
        <w:rPr>
          <w:lang w:val="fr-CA"/>
        </w:rPr>
        <w:t>Un rapport doit inclure le nom du représentant de l’ACRT qui rapporte l’incident, les noms du ou des représentant(s) de l’ACRT visé(s) par l’allégation, les noms et les coordonnées (si possible) de</w:t>
      </w:r>
      <w:r w:rsidR="00F97F3F">
        <w:rPr>
          <w:lang w:val="fr-CA"/>
        </w:rPr>
        <w:t>s</w:t>
      </w:r>
      <w:r w:rsidRPr="00E7767B">
        <w:rPr>
          <w:lang w:val="fr-CA"/>
        </w:rPr>
        <w:t xml:space="preserve"> personnes qui pourraient détenir plus d’information à propos de l’incident, une description de ce qui s’est produit et, si possible, la ou les date(s) et la ou les lieu(x) de l’incident.</w:t>
      </w:r>
      <w:r w:rsidR="006F33DB" w:rsidRPr="00E7767B">
        <w:rPr>
          <w:lang w:val="fr-CA"/>
        </w:rPr>
        <w:t xml:space="preserve"> </w:t>
      </w:r>
      <w:r w:rsidR="00625BBD">
        <w:rPr>
          <w:lang w:val="fr-CA"/>
        </w:rPr>
        <w:t>L</w:t>
      </w:r>
      <w:r w:rsidR="006F33DB" w:rsidRPr="00E7767B">
        <w:rPr>
          <w:lang w:val="fr-CA"/>
        </w:rPr>
        <w:t xml:space="preserve">es copies de tout document pertinent doivent être incluses au rapport. </w:t>
      </w:r>
      <w:r w:rsidRPr="00E7767B">
        <w:rPr>
          <w:lang w:val="fr-CA"/>
        </w:rPr>
        <w:t xml:space="preserve"> </w:t>
      </w:r>
    </w:p>
    <w:p w14:paraId="3AAA4FBA" w14:textId="77777777" w:rsidR="00A776DC" w:rsidRPr="00E7767B" w:rsidRDefault="00A776DC" w:rsidP="008252F8">
      <w:pPr>
        <w:jc w:val="both"/>
        <w:rPr>
          <w:lang w:val="fr-CA"/>
        </w:rPr>
      </w:pPr>
    </w:p>
    <w:p w14:paraId="41A2473B" w14:textId="5430BACD" w:rsidR="00A776DC" w:rsidRPr="00E7767B" w:rsidRDefault="0011383A" w:rsidP="008252F8">
      <w:pPr>
        <w:jc w:val="both"/>
        <w:rPr>
          <w:lang w:val="fr-CA"/>
        </w:rPr>
      </w:pPr>
      <w:r w:rsidRPr="00E7767B">
        <w:rPr>
          <w:lang w:val="fr-CA"/>
        </w:rPr>
        <w:t xml:space="preserve">Le </w:t>
      </w:r>
      <w:r w:rsidR="00681766">
        <w:rPr>
          <w:lang w:val="fr-CA"/>
        </w:rPr>
        <w:t>C</w:t>
      </w:r>
      <w:r w:rsidRPr="00E7767B">
        <w:rPr>
          <w:lang w:val="fr-CA"/>
        </w:rPr>
        <w:t xml:space="preserve">omité de conduite a le mandat de recevoir et de répondre aux rapports qu’il reçoit. Toutefois, </w:t>
      </w:r>
      <w:r w:rsidR="002C2B6B" w:rsidRPr="00E7767B">
        <w:rPr>
          <w:lang w:val="fr-CA"/>
        </w:rPr>
        <w:t xml:space="preserve">le présent Code n’oblige pas le </w:t>
      </w:r>
      <w:r w:rsidR="00E160F5">
        <w:rPr>
          <w:lang w:val="fr-CA"/>
        </w:rPr>
        <w:t>C</w:t>
      </w:r>
      <w:r w:rsidR="002C2B6B" w:rsidRPr="00E7767B">
        <w:rPr>
          <w:lang w:val="fr-CA"/>
        </w:rPr>
        <w:t xml:space="preserve">omité à répondre ou à prendre </w:t>
      </w:r>
      <w:r w:rsidR="009A1579">
        <w:rPr>
          <w:lang w:val="fr-CA"/>
        </w:rPr>
        <w:t>quelque</w:t>
      </w:r>
      <w:r w:rsidR="002C2B6B" w:rsidRPr="00E7767B">
        <w:rPr>
          <w:lang w:val="fr-CA"/>
        </w:rPr>
        <w:t xml:space="preserve"> mesure suite à la réception d’un rapport adressé anonymement à l’ACRT.</w:t>
      </w:r>
    </w:p>
    <w:p w14:paraId="6467903B" w14:textId="77777777" w:rsidR="0011383A" w:rsidRPr="00E7767B" w:rsidRDefault="0011383A" w:rsidP="008252F8">
      <w:pPr>
        <w:jc w:val="both"/>
        <w:rPr>
          <w:lang w:val="fr-CA"/>
        </w:rPr>
      </w:pPr>
    </w:p>
    <w:p w14:paraId="7927A5B4" w14:textId="7E1233E2" w:rsidR="00995D21" w:rsidRPr="00E7767B" w:rsidRDefault="002069F5" w:rsidP="008252F8">
      <w:pPr>
        <w:jc w:val="both"/>
        <w:rPr>
          <w:lang w:val="fr-CA"/>
        </w:rPr>
      </w:pPr>
      <w:r w:rsidRPr="00E7767B">
        <w:rPr>
          <w:lang w:val="fr-CA"/>
        </w:rPr>
        <w:t xml:space="preserve">Les représentants de l’ACRT victimes de comportements interdits peuvent également déposer un rapport ou une plainte auprès d’une institution hôte ou d’une institution liée à l’ACRT, le cas échéant. Si un tel rapport ou une telle plainte </w:t>
      </w:r>
      <w:r w:rsidR="00E86622" w:rsidRPr="00E7767B">
        <w:rPr>
          <w:lang w:val="fr-CA"/>
        </w:rPr>
        <w:t xml:space="preserve">est </w:t>
      </w:r>
      <w:r w:rsidRPr="00E7767B">
        <w:rPr>
          <w:lang w:val="fr-CA"/>
        </w:rPr>
        <w:t xml:space="preserve">déposé par un représentant de l’ACRT </w:t>
      </w:r>
      <w:r w:rsidR="00E86622" w:rsidRPr="00E7767B">
        <w:rPr>
          <w:lang w:val="fr-CA"/>
        </w:rPr>
        <w:t xml:space="preserve">et </w:t>
      </w:r>
      <w:r w:rsidRPr="00E7767B">
        <w:rPr>
          <w:lang w:val="fr-CA"/>
        </w:rPr>
        <w:t xml:space="preserve">concerne un autre représentant de l’ACRT, la personne ayant déposé le rapport ou la plainte est encouragée à en avertir le </w:t>
      </w:r>
      <w:r w:rsidR="001D72E7">
        <w:rPr>
          <w:lang w:val="fr-CA"/>
        </w:rPr>
        <w:t>C</w:t>
      </w:r>
      <w:r w:rsidRPr="00E7767B">
        <w:rPr>
          <w:lang w:val="fr-CA"/>
        </w:rPr>
        <w:t xml:space="preserve">omité de conduite. </w:t>
      </w:r>
    </w:p>
    <w:p w14:paraId="6665A86A" w14:textId="099F0994" w:rsidR="00A47EF5" w:rsidRPr="00E7767B" w:rsidRDefault="00A47EF5" w:rsidP="008252F8">
      <w:pPr>
        <w:jc w:val="both"/>
        <w:rPr>
          <w:lang w:val="fr-CA"/>
        </w:rPr>
      </w:pPr>
    </w:p>
    <w:p w14:paraId="353F195B" w14:textId="454CB4B1" w:rsidR="00747FB1" w:rsidRPr="00E7767B" w:rsidRDefault="00747FB1" w:rsidP="008252F8">
      <w:pPr>
        <w:jc w:val="both"/>
        <w:rPr>
          <w:lang w:val="fr-CA"/>
        </w:rPr>
      </w:pPr>
      <w:r w:rsidRPr="00E7767B">
        <w:rPr>
          <w:lang w:val="fr-CA"/>
        </w:rPr>
        <w:t xml:space="preserve">En soumettant un rapport au </w:t>
      </w:r>
      <w:r w:rsidR="005F41ED">
        <w:rPr>
          <w:lang w:val="fr-CA"/>
        </w:rPr>
        <w:t>C</w:t>
      </w:r>
      <w:r w:rsidRPr="00E7767B">
        <w:rPr>
          <w:lang w:val="fr-CA"/>
        </w:rPr>
        <w:t xml:space="preserve">omité de conduite, un représentant de l’ACRT autorise notamment le </w:t>
      </w:r>
      <w:r w:rsidR="005F41ED">
        <w:rPr>
          <w:lang w:val="fr-CA"/>
        </w:rPr>
        <w:t>C</w:t>
      </w:r>
      <w:r w:rsidRPr="00E7767B">
        <w:rPr>
          <w:lang w:val="fr-CA"/>
        </w:rPr>
        <w:t xml:space="preserve">omité à : </w:t>
      </w:r>
    </w:p>
    <w:p w14:paraId="2F515712" w14:textId="77777777" w:rsidR="00747FB1" w:rsidRPr="00E7767B" w:rsidRDefault="00747FB1" w:rsidP="008252F8">
      <w:pPr>
        <w:jc w:val="both"/>
        <w:rPr>
          <w:lang w:val="fr-CA"/>
        </w:rPr>
      </w:pPr>
    </w:p>
    <w:p w14:paraId="5B0C0CA2" w14:textId="71861D99" w:rsidR="00747FB1" w:rsidRPr="00E7767B" w:rsidRDefault="00747FB1" w:rsidP="008252F8">
      <w:pPr>
        <w:pStyle w:val="ListParagraph"/>
        <w:numPr>
          <w:ilvl w:val="0"/>
          <w:numId w:val="15"/>
        </w:numPr>
        <w:jc w:val="both"/>
        <w:rPr>
          <w:lang w:val="fr-CA"/>
        </w:rPr>
      </w:pPr>
      <w:r w:rsidRPr="00E7767B">
        <w:rPr>
          <w:lang w:val="fr-CA"/>
        </w:rPr>
        <w:lastRenderedPageBreak/>
        <w:t>Communiquer le rapport aux directeurs, au président, au vice-président ou à toute personne désignée par les directeurs en vertu du présent Code, lorsqu’applicable</w:t>
      </w:r>
      <w:r w:rsidR="00F563FA">
        <w:rPr>
          <w:lang w:val="fr-CA"/>
        </w:rPr>
        <w:t> </w:t>
      </w:r>
      <w:r w:rsidRPr="00E7767B">
        <w:rPr>
          <w:lang w:val="fr-CA"/>
        </w:rPr>
        <w:t xml:space="preserve">; </w:t>
      </w:r>
    </w:p>
    <w:p w14:paraId="497820FE" w14:textId="77777777" w:rsidR="00747FB1" w:rsidRPr="00E7767B" w:rsidRDefault="00747FB1" w:rsidP="00A246F5">
      <w:pPr>
        <w:pStyle w:val="ListParagraph"/>
        <w:ind w:left="780"/>
        <w:jc w:val="both"/>
        <w:rPr>
          <w:lang w:val="fr-CA"/>
        </w:rPr>
      </w:pPr>
    </w:p>
    <w:p w14:paraId="0EC8CB02" w14:textId="3DF184B3" w:rsidR="00747FB1" w:rsidRPr="00E7767B" w:rsidRDefault="005E7FBC" w:rsidP="00A246F5">
      <w:pPr>
        <w:pStyle w:val="ListParagraph"/>
        <w:numPr>
          <w:ilvl w:val="0"/>
          <w:numId w:val="15"/>
        </w:numPr>
        <w:jc w:val="both"/>
        <w:rPr>
          <w:lang w:val="fr-CA"/>
        </w:rPr>
      </w:pPr>
      <w:r w:rsidRPr="00E7767B">
        <w:rPr>
          <w:lang w:val="fr-CA"/>
        </w:rPr>
        <w:t>Fai</w:t>
      </w:r>
      <w:r w:rsidR="002E5D00">
        <w:rPr>
          <w:lang w:val="fr-CA"/>
        </w:rPr>
        <w:t>re</w:t>
      </w:r>
      <w:r w:rsidRPr="00E7767B">
        <w:rPr>
          <w:lang w:val="fr-CA"/>
        </w:rPr>
        <w:t xml:space="preserve"> usage de son pouvoir discrétionnaire </w:t>
      </w:r>
      <w:r w:rsidR="000E759A" w:rsidRPr="00E7767B">
        <w:rPr>
          <w:lang w:val="fr-CA"/>
        </w:rPr>
        <w:t>quant à</w:t>
      </w:r>
      <w:r w:rsidRPr="00E7767B">
        <w:rPr>
          <w:lang w:val="fr-CA"/>
        </w:rPr>
        <w:t xml:space="preserve"> la décision de communiquer le rapport à une institution hôte et/ou une institution liée.  </w:t>
      </w:r>
    </w:p>
    <w:p w14:paraId="7D985C47" w14:textId="77777777" w:rsidR="005E7FBC" w:rsidRPr="00E7767B" w:rsidRDefault="005E7FBC" w:rsidP="00A246F5">
      <w:pPr>
        <w:pStyle w:val="ListParagraph"/>
        <w:jc w:val="both"/>
        <w:rPr>
          <w:lang w:val="fr-CA"/>
        </w:rPr>
      </w:pPr>
    </w:p>
    <w:p w14:paraId="1811CAA8" w14:textId="6A9232ED" w:rsidR="005E7FBC" w:rsidRPr="00E7767B" w:rsidRDefault="00A20B37" w:rsidP="00A246F5">
      <w:pPr>
        <w:jc w:val="both"/>
        <w:rPr>
          <w:lang w:val="fr-CA"/>
        </w:rPr>
      </w:pPr>
      <w:r w:rsidRPr="00E7767B">
        <w:rPr>
          <w:lang w:val="fr-CA"/>
        </w:rPr>
        <w:t xml:space="preserve">Bien qu’en vertu du présent Code un rapport doit être déposé par écrit ou en personne, tout représentant de l’ACRT ayant des questions ou des inquiétudes à propos du Code ou d’un </w:t>
      </w:r>
      <w:r w:rsidR="009D4D3B">
        <w:rPr>
          <w:lang w:val="fr-CA"/>
        </w:rPr>
        <w:t>incident</w:t>
      </w:r>
      <w:r w:rsidRPr="00E7767B">
        <w:rPr>
          <w:lang w:val="fr-CA"/>
        </w:rPr>
        <w:t xml:space="preserve"> peut contacter un membre du </w:t>
      </w:r>
      <w:r w:rsidR="00DB50CE">
        <w:rPr>
          <w:lang w:val="fr-CA"/>
        </w:rPr>
        <w:t>C</w:t>
      </w:r>
      <w:r w:rsidRPr="00E7767B">
        <w:rPr>
          <w:lang w:val="fr-CA"/>
        </w:rPr>
        <w:t xml:space="preserve">omité de conduite en tout temps. </w:t>
      </w:r>
      <w:r w:rsidRPr="00E7767B">
        <w:rPr>
          <w:b/>
          <w:bCs/>
          <w:lang w:val="fr-CA"/>
        </w:rPr>
        <w:t xml:space="preserve">Une telle demande </w:t>
      </w:r>
      <w:r w:rsidR="003D2E05" w:rsidRPr="00E7767B">
        <w:rPr>
          <w:b/>
          <w:bCs/>
          <w:lang w:val="fr-CA"/>
        </w:rPr>
        <w:t>n’est pas</w:t>
      </w:r>
      <w:r w:rsidRPr="00E7767B">
        <w:rPr>
          <w:b/>
          <w:bCs/>
          <w:lang w:val="fr-CA"/>
        </w:rPr>
        <w:t xml:space="preserve"> considérée comme un rapport en vertu du présent Code. </w:t>
      </w:r>
      <w:r w:rsidRPr="00E7767B">
        <w:rPr>
          <w:lang w:val="fr-CA"/>
        </w:rPr>
        <w:t xml:space="preserve"> </w:t>
      </w:r>
    </w:p>
    <w:p w14:paraId="033B8B7D" w14:textId="77777777" w:rsidR="008411B6" w:rsidRPr="00E7767B" w:rsidRDefault="008411B6" w:rsidP="00A246F5">
      <w:pPr>
        <w:pStyle w:val="ListParagraph"/>
        <w:jc w:val="both"/>
        <w:rPr>
          <w:lang w:val="fr-CA"/>
        </w:rPr>
      </w:pPr>
    </w:p>
    <w:p w14:paraId="51B7CCE2" w14:textId="77777777" w:rsidR="00F961F0" w:rsidRPr="00E7767B" w:rsidRDefault="00F961F0" w:rsidP="00A246F5">
      <w:pPr>
        <w:jc w:val="both"/>
        <w:rPr>
          <w:lang w:val="fr-CA"/>
        </w:rPr>
      </w:pPr>
    </w:p>
    <w:p w14:paraId="133BDF42" w14:textId="5A792DB1" w:rsidR="007A3DE5" w:rsidRPr="00E7767B" w:rsidRDefault="00E623B8" w:rsidP="00A246F5">
      <w:pPr>
        <w:pStyle w:val="TMGenL1"/>
        <w:rPr>
          <w:b/>
          <w:lang w:val="fr-CA"/>
        </w:rPr>
      </w:pPr>
      <w:r w:rsidRPr="00E7767B">
        <w:rPr>
          <w:b/>
          <w:lang w:val="fr-CA"/>
        </w:rPr>
        <w:t>Répondre à un rapport pour allégation de comportement interdit</w:t>
      </w:r>
      <w:r w:rsidR="008A1F40" w:rsidRPr="00E7767B">
        <w:rPr>
          <w:b/>
          <w:lang w:val="fr-CA"/>
        </w:rPr>
        <w:t xml:space="preserve"> </w:t>
      </w:r>
    </w:p>
    <w:p w14:paraId="7AF0A2B1" w14:textId="7B4F9550" w:rsidR="00A776DC" w:rsidRPr="00E7767B" w:rsidRDefault="00A776DC" w:rsidP="00A246F5">
      <w:pPr>
        <w:jc w:val="both"/>
        <w:rPr>
          <w:lang w:val="fr-CA"/>
        </w:rPr>
      </w:pPr>
    </w:p>
    <w:p w14:paraId="6B034689" w14:textId="5045A6EB" w:rsidR="0007121E" w:rsidRPr="00E7767B" w:rsidRDefault="00937687" w:rsidP="00A246F5">
      <w:pPr>
        <w:jc w:val="both"/>
        <w:rPr>
          <w:lang w:val="fr-CA"/>
        </w:rPr>
      </w:pPr>
      <w:r w:rsidRPr="00E7767B">
        <w:rPr>
          <w:lang w:val="fr-CA"/>
        </w:rPr>
        <w:t xml:space="preserve">Le </w:t>
      </w:r>
      <w:r w:rsidR="00422678">
        <w:rPr>
          <w:lang w:val="fr-CA"/>
        </w:rPr>
        <w:t>C</w:t>
      </w:r>
      <w:r w:rsidRPr="00E7767B">
        <w:rPr>
          <w:lang w:val="fr-CA"/>
        </w:rPr>
        <w:t xml:space="preserve">omité de conduite </w:t>
      </w:r>
      <w:r w:rsidR="00A45E78" w:rsidRPr="00E7767B">
        <w:rPr>
          <w:lang w:val="fr-CA"/>
        </w:rPr>
        <w:t>traitera chaque rapport de manière juste</w:t>
      </w:r>
      <w:r w:rsidR="003245E8" w:rsidRPr="00E7767B">
        <w:rPr>
          <w:lang w:val="fr-CA"/>
        </w:rPr>
        <w:t xml:space="preserve"> et</w:t>
      </w:r>
      <w:r w:rsidR="00A45E78" w:rsidRPr="00E7767B">
        <w:rPr>
          <w:lang w:val="fr-CA"/>
        </w:rPr>
        <w:t xml:space="preserve"> respectueuse</w:t>
      </w:r>
      <w:r w:rsidR="003245E8" w:rsidRPr="00E7767B">
        <w:rPr>
          <w:lang w:val="fr-CA"/>
        </w:rPr>
        <w:t>,</w:t>
      </w:r>
      <w:r w:rsidR="00A45E78" w:rsidRPr="00E7767B">
        <w:rPr>
          <w:lang w:val="fr-CA"/>
        </w:rPr>
        <w:t xml:space="preserve"> et </w:t>
      </w:r>
      <w:r w:rsidR="0094312F">
        <w:rPr>
          <w:lang w:val="fr-CA"/>
        </w:rPr>
        <w:t xml:space="preserve">ce, </w:t>
      </w:r>
      <w:r w:rsidR="00A45E78" w:rsidRPr="00E7767B">
        <w:rPr>
          <w:lang w:val="fr-CA"/>
        </w:rPr>
        <w:t xml:space="preserve">dans un délai convenable. </w:t>
      </w:r>
    </w:p>
    <w:p w14:paraId="19EC6BBE" w14:textId="77777777" w:rsidR="0007121E" w:rsidRPr="00E7767B" w:rsidRDefault="0007121E" w:rsidP="00A246F5">
      <w:pPr>
        <w:jc w:val="both"/>
        <w:rPr>
          <w:lang w:val="fr-CA"/>
        </w:rPr>
      </w:pPr>
    </w:p>
    <w:p w14:paraId="406723DA" w14:textId="1062A529" w:rsidR="00F032E1" w:rsidRPr="00E7767B" w:rsidRDefault="00F032E1" w:rsidP="00A246F5">
      <w:pPr>
        <w:jc w:val="both"/>
        <w:rPr>
          <w:lang w:val="fr-CA"/>
        </w:rPr>
      </w:pPr>
      <w:r w:rsidRPr="00E7767B">
        <w:rPr>
          <w:lang w:val="fr-CA"/>
        </w:rPr>
        <w:t xml:space="preserve">Sous réserve des mandats, politiques ou procédures </w:t>
      </w:r>
      <w:r w:rsidR="0061053B" w:rsidRPr="00E7767B">
        <w:rPr>
          <w:lang w:val="fr-CA"/>
        </w:rPr>
        <w:t xml:space="preserve">pouvant être </w:t>
      </w:r>
      <w:r w:rsidRPr="00E7767B">
        <w:rPr>
          <w:lang w:val="fr-CA"/>
        </w:rPr>
        <w:t>cré</w:t>
      </w:r>
      <w:r w:rsidR="00AC4DF6">
        <w:rPr>
          <w:lang w:val="fr-CA"/>
        </w:rPr>
        <w:t>é</w:t>
      </w:r>
      <w:r w:rsidRPr="00E7767B">
        <w:rPr>
          <w:lang w:val="fr-CA"/>
        </w:rPr>
        <w:t xml:space="preserve">s ou amendés </w:t>
      </w:r>
      <w:r w:rsidR="0061053B" w:rsidRPr="00E7767B">
        <w:rPr>
          <w:lang w:val="fr-CA"/>
        </w:rPr>
        <w:t>en tout temps</w:t>
      </w:r>
      <w:r w:rsidRPr="00E7767B">
        <w:rPr>
          <w:lang w:val="fr-CA"/>
        </w:rPr>
        <w:t xml:space="preserve"> par les directeurs, </w:t>
      </w:r>
      <w:r w:rsidR="0061053B" w:rsidRPr="00E7767B">
        <w:rPr>
          <w:lang w:val="fr-CA"/>
        </w:rPr>
        <w:t xml:space="preserve">le comité de conduite peut, à sa discrétion, réviser et répondre à un rapport en vertu du présent Code et en fonction ce qu’il juge approprié dans les circonstances, soit : </w:t>
      </w:r>
    </w:p>
    <w:p w14:paraId="0E867DDD" w14:textId="77777777" w:rsidR="00B53980" w:rsidRPr="00E7767B" w:rsidRDefault="00B53980" w:rsidP="00A246F5">
      <w:pPr>
        <w:jc w:val="both"/>
        <w:rPr>
          <w:lang w:val="fr-CA"/>
        </w:rPr>
      </w:pPr>
    </w:p>
    <w:p w14:paraId="2DD58235" w14:textId="127E0CFA" w:rsidR="0061053B" w:rsidRPr="00E7767B" w:rsidRDefault="0061053B" w:rsidP="00A246F5">
      <w:pPr>
        <w:pStyle w:val="ListParagraph"/>
        <w:numPr>
          <w:ilvl w:val="0"/>
          <w:numId w:val="12"/>
        </w:numPr>
        <w:jc w:val="both"/>
        <w:rPr>
          <w:lang w:val="fr-CA"/>
        </w:rPr>
      </w:pPr>
      <w:r w:rsidRPr="00E7767B">
        <w:rPr>
          <w:lang w:val="fr-CA"/>
        </w:rPr>
        <w:t>Demander conseil à l’agent de l’équité de l’ACRT</w:t>
      </w:r>
      <w:r w:rsidR="00F563FA">
        <w:rPr>
          <w:lang w:val="fr-CA"/>
        </w:rPr>
        <w:t> </w:t>
      </w:r>
      <w:r w:rsidRPr="00E7767B">
        <w:rPr>
          <w:lang w:val="fr-CA"/>
        </w:rPr>
        <w:t xml:space="preserve">; </w:t>
      </w:r>
    </w:p>
    <w:p w14:paraId="23251680" w14:textId="77777777" w:rsidR="00104BE9" w:rsidRPr="00E7767B" w:rsidRDefault="00104BE9" w:rsidP="00A246F5">
      <w:pPr>
        <w:pStyle w:val="ListParagraph"/>
        <w:jc w:val="both"/>
        <w:rPr>
          <w:lang w:val="fr-CA"/>
        </w:rPr>
      </w:pPr>
    </w:p>
    <w:p w14:paraId="788D1BD4" w14:textId="78916A0F" w:rsidR="0061053B" w:rsidRPr="00E7767B" w:rsidRDefault="0061053B" w:rsidP="00A246F5">
      <w:pPr>
        <w:pStyle w:val="ListParagraph"/>
        <w:numPr>
          <w:ilvl w:val="0"/>
          <w:numId w:val="12"/>
        </w:numPr>
        <w:jc w:val="both"/>
        <w:rPr>
          <w:lang w:val="fr-CA"/>
        </w:rPr>
      </w:pPr>
      <w:r w:rsidRPr="00E7767B">
        <w:rPr>
          <w:lang w:val="fr-CA"/>
        </w:rPr>
        <w:t>Demander l’autorisation aux directeurs d’obtenir des conseils légaux</w:t>
      </w:r>
      <w:r w:rsidR="00F563FA">
        <w:rPr>
          <w:lang w:val="fr-CA"/>
        </w:rPr>
        <w:t> </w:t>
      </w:r>
      <w:r w:rsidRPr="00E7767B">
        <w:rPr>
          <w:lang w:val="fr-CA"/>
        </w:rPr>
        <w:t xml:space="preserve">; </w:t>
      </w:r>
    </w:p>
    <w:p w14:paraId="1466CD0C" w14:textId="77777777" w:rsidR="00104BE9" w:rsidRPr="00E7767B" w:rsidRDefault="00104BE9" w:rsidP="00A246F5">
      <w:pPr>
        <w:jc w:val="both"/>
        <w:rPr>
          <w:lang w:val="fr-CA"/>
        </w:rPr>
      </w:pPr>
    </w:p>
    <w:p w14:paraId="2F285D92" w14:textId="4EB452A0" w:rsidR="0061053B" w:rsidRPr="00E7767B" w:rsidRDefault="0061053B" w:rsidP="00A246F5">
      <w:pPr>
        <w:pStyle w:val="ListParagraph"/>
        <w:numPr>
          <w:ilvl w:val="0"/>
          <w:numId w:val="12"/>
        </w:numPr>
        <w:jc w:val="both"/>
        <w:rPr>
          <w:lang w:val="fr-CA"/>
        </w:rPr>
      </w:pPr>
      <w:r w:rsidRPr="00E7767B">
        <w:rPr>
          <w:lang w:val="fr-CA"/>
        </w:rPr>
        <w:t xml:space="preserve">Collaborer avec une institution hôte et/ou une institution liée, lorsqu’applicable, et/ou </w:t>
      </w:r>
      <w:r w:rsidR="00A146A5" w:rsidRPr="00E7767B">
        <w:rPr>
          <w:lang w:val="fr-CA"/>
        </w:rPr>
        <w:t>se référer</w:t>
      </w:r>
      <w:r w:rsidRPr="00E7767B">
        <w:rPr>
          <w:lang w:val="fr-CA"/>
        </w:rPr>
        <w:t xml:space="preserve"> à tout</w:t>
      </w:r>
      <w:r w:rsidR="003F7D0E" w:rsidRPr="00E7767B">
        <w:rPr>
          <w:lang w:val="fr-CA"/>
        </w:rPr>
        <w:t xml:space="preserve">e procédure </w:t>
      </w:r>
      <w:r w:rsidRPr="00E7767B">
        <w:rPr>
          <w:lang w:val="fr-CA"/>
        </w:rPr>
        <w:t xml:space="preserve">ou </w:t>
      </w:r>
      <w:r w:rsidR="00A146A5" w:rsidRPr="00E7767B">
        <w:rPr>
          <w:lang w:val="fr-CA"/>
        </w:rPr>
        <w:t xml:space="preserve">toute </w:t>
      </w:r>
      <w:r w:rsidRPr="00E7767B">
        <w:rPr>
          <w:lang w:val="fr-CA"/>
        </w:rPr>
        <w:t xml:space="preserve">sanction </w:t>
      </w:r>
      <w:r w:rsidR="00A146A5" w:rsidRPr="00E7767B">
        <w:rPr>
          <w:lang w:val="fr-CA"/>
        </w:rPr>
        <w:t>prévu</w:t>
      </w:r>
      <w:r w:rsidR="003F7D0E" w:rsidRPr="00E7767B">
        <w:rPr>
          <w:lang w:val="fr-CA"/>
        </w:rPr>
        <w:t>e</w:t>
      </w:r>
      <w:r w:rsidR="00A146A5" w:rsidRPr="00E7767B">
        <w:rPr>
          <w:lang w:val="fr-CA"/>
        </w:rPr>
        <w:t xml:space="preserve"> par les</w:t>
      </w:r>
      <w:r w:rsidRPr="00E7767B">
        <w:rPr>
          <w:lang w:val="fr-CA"/>
        </w:rPr>
        <w:t xml:space="preserve"> politiques, procédures et protocoles de telles institutions</w:t>
      </w:r>
      <w:r w:rsidR="00F563FA">
        <w:rPr>
          <w:lang w:val="fr-CA"/>
        </w:rPr>
        <w:t> </w:t>
      </w:r>
      <w:r w:rsidRPr="00E7767B">
        <w:rPr>
          <w:lang w:val="fr-CA"/>
        </w:rPr>
        <w:t xml:space="preserve">; </w:t>
      </w:r>
    </w:p>
    <w:p w14:paraId="3A770A10" w14:textId="77777777" w:rsidR="00104BE9" w:rsidRPr="00E7767B" w:rsidRDefault="00104BE9" w:rsidP="00A246F5">
      <w:pPr>
        <w:jc w:val="both"/>
        <w:rPr>
          <w:lang w:val="fr-CA"/>
        </w:rPr>
      </w:pPr>
    </w:p>
    <w:p w14:paraId="38761C77" w14:textId="077BEFFF" w:rsidR="0061053B" w:rsidRPr="00E7767B" w:rsidRDefault="0061053B" w:rsidP="00A246F5">
      <w:pPr>
        <w:pStyle w:val="ListParagraph"/>
        <w:numPr>
          <w:ilvl w:val="0"/>
          <w:numId w:val="12"/>
        </w:numPr>
        <w:jc w:val="both"/>
        <w:rPr>
          <w:lang w:val="fr-CA"/>
        </w:rPr>
      </w:pPr>
      <w:r w:rsidRPr="00E7767B">
        <w:rPr>
          <w:lang w:val="fr-CA"/>
        </w:rPr>
        <w:t>Mener une enquête appropriée dans les circonstances</w:t>
      </w:r>
      <w:r w:rsidR="00F563FA">
        <w:rPr>
          <w:lang w:val="fr-CA"/>
        </w:rPr>
        <w:t> </w:t>
      </w:r>
      <w:r w:rsidRPr="00E7767B">
        <w:rPr>
          <w:lang w:val="fr-CA"/>
        </w:rPr>
        <w:t>;</w:t>
      </w:r>
    </w:p>
    <w:p w14:paraId="71699400" w14:textId="77777777" w:rsidR="00A146A5" w:rsidRPr="00E7767B" w:rsidRDefault="00A146A5" w:rsidP="00A246F5">
      <w:pPr>
        <w:jc w:val="both"/>
        <w:rPr>
          <w:lang w:val="fr-CA"/>
        </w:rPr>
      </w:pPr>
    </w:p>
    <w:p w14:paraId="6A3476CA" w14:textId="39C36D97" w:rsidR="00A146A5" w:rsidRPr="00E7767B" w:rsidRDefault="0061053B" w:rsidP="00A246F5">
      <w:pPr>
        <w:pStyle w:val="ListParagraph"/>
        <w:numPr>
          <w:ilvl w:val="0"/>
          <w:numId w:val="12"/>
        </w:numPr>
        <w:jc w:val="both"/>
        <w:rPr>
          <w:lang w:val="fr-CA"/>
        </w:rPr>
      </w:pPr>
      <w:r w:rsidRPr="00E7767B">
        <w:rPr>
          <w:lang w:val="fr-CA"/>
        </w:rPr>
        <w:t>Retenir les services d’un enquêteur tiers afin de mener une enquête</w:t>
      </w:r>
      <w:r w:rsidR="00F563FA">
        <w:rPr>
          <w:lang w:val="fr-CA"/>
        </w:rPr>
        <w:t> </w:t>
      </w:r>
      <w:r w:rsidRPr="00E7767B">
        <w:rPr>
          <w:lang w:val="fr-CA"/>
        </w:rPr>
        <w:t>;</w:t>
      </w:r>
    </w:p>
    <w:p w14:paraId="27BAF628" w14:textId="1A167287" w:rsidR="0061053B" w:rsidRPr="00E7767B" w:rsidRDefault="0061053B" w:rsidP="00A246F5">
      <w:pPr>
        <w:jc w:val="both"/>
        <w:rPr>
          <w:lang w:val="fr-CA"/>
        </w:rPr>
      </w:pPr>
      <w:r w:rsidRPr="00E7767B">
        <w:rPr>
          <w:lang w:val="fr-CA"/>
        </w:rPr>
        <w:t xml:space="preserve"> </w:t>
      </w:r>
    </w:p>
    <w:p w14:paraId="008646D8" w14:textId="2F80ABCE" w:rsidR="0061053B" w:rsidRPr="00E7767B" w:rsidRDefault="0061053B" w:rsidP="00A246F5">
      <w:pPr>
        <w:pStyle w:val="ListParagraph"/>
        <w:numPr>
          <w:ilvl w:val="0"/>
          <w:numId w:val="12"/>
        </w:numPr>
        <w:jc w:val="both"/>
        <w:rPr>
          <w:lang w:val="fr-CA"/>
        </w:rPr>
      </w:pPr>
      <w:r w:rsidRPr="00E7767B">
        <w:rPr>
          <w:lang w:val="fr-CA"/>
        </w:rPr>
        <w:t xml:space="preserve">Conclure que le sujet d’un rapport ne relève pas du mandat du </w:t>
      </w:r>
      <w:r w:rsidR="009649EC">
        <w:rPr>
          <w:lang w:val="fr-CA"/>
        </w:rPr>
        <w:t>C</w:t>
      </w:r>
      <w:r w:rsidRPr="00E7767B">
        <w:rPr>
          <w:lang w:val="fr-CA"/>
        </w:rPr>
        <w:t>omité de conduite</w:t>
      </w:r>
      <w:r w:rsidR="00F563FA">
        <w:rPr>
          <w:lang w:val="fr-CA"/>
        </w:rPr>
        <w:t> </w:t>
      </w:r>
      <w:r w:rsidRPr="00E7767B">
        <w:rPr>
          <w:lang w:val="fr-CA"/>
        </w:rPr>
        <w:t xml:space="preserve">; </w:t>
      </w:r>
    </w:p>
    <w:p w14:paraId="11624EDB" w14:textId="77777777" w:rsidR="00983AB6" w:rsidRPr="00E7767B" w:rsidRDefault="00983AB6" w:rsidP="00A246F5">
      <w:pPr>
        <w:jc w:val="both"/>
        <w:rPr>
          <w:lang w:val="fr-CA"/>
        </w:rPr>
      </w:pPr>
    </w:p>
    <w:p w14:paraId="76EB3124" w14:textId="2E47E8D7" w:rsidR="0061053B" w:rsidRPr="00A5277D" w:rsidRDefault="0061053B" w:rsidP="00A246F5">
      <w:pPr>
        <w:pStyle w:val="ListParagraph"/>
        <w:numPr>
          <w:ilvl w:val="0"/>
          <w:numId w:val="12"/>
        </w:numPr>
        <w:jc w:val="both"/>
        <w:rPr>
          <w:lang w:val="fr-CA"/>
        </w:rPr>
      </w:pPr>
      <w:r w:rsidRPr="00A5277D">
        <w:rPr>
          <w:lang w:val="fr-CA"/>
        </w:rPr>
        <w:t xml:space="preserve">Prendre toute mesure nécessaire </w:t>
      </w:r>
      <w:r w:rsidR="00BD6F13">
        <w:rPr>
          <w:lang w:val="fr-CA"/>
        </w:rPr>
        <w:t>jugée</w:t>
      </w:r>
      <w:r w:rsidRPr="00A5277D">
        <w:rPr>
          <w:lang w:val="fr-CA"/>
        </w:rPr>
        <w:t xml:space="preserve"> juste et approprié</w:t>
      </w:r>
      <w:r w:rsidR="00BD6F13">
        <w:rPr>
          <w:lang w:val="fr-CA"/>
        </w:rPr>
        <w:t>e</w:t>
      </w:r>
      <w:r w:rsidRPr="00A5277D">
        <w:rPr>
          <w:lang w:val="fr-CA"/>
        </w:rPr>
        <w:t xml:space="preserve"> dans les circonstances. </w:t>
      </w:r>
    </w:p>
    <w:p w14:paraId="560F88CA" w14:textId="77777777" w:rsidR="00AF275F" w:rsidRPr="00E7767B" w:rsidRDefault="00AF275F" w:rsidP="00A246F5">
      <w:pPr>
        <w:ind w:left="360"/>
        <w:jc w:val="both"/>
        <w:rPr>
          <w:lang w:val="fr-CA"/>
        </w:rPr>
      </w:pPr>
    </w:p>
    <w:p w14:paraId="780F0EC7" w14:textId="0BFD9737" w:rsidR="00C34D7A" w:rsidRPr="00E7767B" w:rsidRDefault="002139E1" w:rsidP="00A246F5">
      <w:pPr>
        <w:jc w:val="both"/>
        <w:rPr>
          <w:lang w:val="fr-CA"/>
        </w:rPr>
      </w:pPr>
      <w:r w:rsidRPr="00E7767B">
        <w:rPr>
          <w:lang w:val="fr-CA"/>
        </w:rPr>
        <w:t xml:space="preserve">La nature et le champ de l’enquête menée en réponse à un rapport dépendra du contexte de ou des incident(s) allégué(s). </w:t>
      </w:r>
      <w:r w:rsidR="00F15F90" w:rsidRPr="00E7767B">
        <w:rPr>
          <w:lang w:val="fr-CA"/>
        </w:rPr>
        <w:t>Il est attendu que la ou les personnes menant l’enquête : (i) interviewent le représentant de l’ACRT ayant rapporté l’incident ou les incidents de comportement interdit</w:t>
      </w:r>
      <w:r w:rsidR="00F563FA">
        <w:rPr>
          <w:lang w:val="fr-CA"/>
        </w:rPr>
        <w:t> </w:t>
      </w:r>
      <w:r w:rsidR="00F15F90" w:rsidRPr="00E7767B">
        <w:rPr>
          <w:lang w:val="fr-CA"/>
        </w:rPr>
        <w:t xml:space="preserve">; (ii) proposent à la personne dont le comportement interdit est allégué </w:t>
      </w:r>
      <w:r w:rsidR="00F15F90" w:rsidRPr="00E7767B">
        <w:rPr>
          <w:lang w:val="fr-CA"/>
        </w:rPr>
        <w:lastRenderedPageBreak/>
        <w:t>l’opportunité de répondre à ces allégations</w:t>
      </w:r>
      <w:r w:rsidR="00F563FA">
        <w:rPr>
          <w:lang w:val="fr-CA"/>
        </w:rPr>
        <w:t> </w:t>
      </w:r>
      <w:r w:rsidR="00F15F90" w:rsidRPr="00E7767B">
        <w:rPr>
          <w:lang w:val="fr-CA"/>
        </w:rPr>
        <w:t xml:space="preserve">; (iii) </w:t>
      </w:r>
      <w:r w:rsidR="00253FC4" w:rsidRPr="00E7767B">
        <w:rPr>
          <w:lang w:val="fr-CA"/>
        </w:rPr>
        <w:t xml:space="preserve">prennent toute mesure jugée appropriée dans les circonstances. </w:t>
      </w:r>
      <w:r w:rsidR="00F15F90" w:rsidRPr="00E7767B">
        <w:rPr>
          <w:lang w:val="fr-CA"/>
        </w:rPr>
        <w:t xml:space="preserve"> </w:t>
      </w:r>
    </w:p>
    <w:p w14:paraId="33EB2D3E" w14:textId="67EB2F66" w:rsidR="002139E1" w:rsidRPr="00E7767B" w:rsidRDefault="002139E1" w:rsidP="00A246F5">
      <w:pPr>
        <w:jc w:val="both"/>
        <w:rPr>
          <w:lang w:val="fr-CA"/>
        </w:rPr>
      </w:pPr>
    </w:p>
    <w:p w14:paraId="44864E18" w14:textId="3E806E58" w:rsidR="00046719" w:rsidRPr="00E7767B" w:rsidRDefault="00046719" w:rsidP="00A246F5">
      <w:pPr>
        <w:jc w:val="both"/>
        <w:rPr>
          <w:lang w:val="fr-CA"/>
        </w:rPr>
      </w:pPr>
      <w:r w:rsidRPr="00E7767B">
        <w:rPr>
          <w:lang w:val="fr-CA"/>
        </w:rPr>
        <w:t xml:space="preserve">Si l’incident </w:t>
      </w:r>
      <w:r w:rsidR="000F55EA" w:rsidRPr="00E7767B">
        <w:rPr>
          <w:lang w:val="fr-CA"/>
        </w:rPr>
        <w:t xml:space="preserve">allégué a été rapporté et/ou est sous enquête ou touché par un quelconque processus en vertu des politiques, procédures et protocoles d’une institution hôte et/ou d’une institution liée, le </w:t>
      </w:r>
      <w:r w:rsidR="001217B8">
        <w:rPr>
          <w:lang w:val="fr-CA"/>
        </w:rPr>
        <w:t>C</w:t>
      </w:r>
      <w:r w:rsidR="000F55EA" w:rsidRPr="00E7767B">
        <w:rPr>
          <w:lang w:val="fr-CA"/>
        </w:rPr>
        <w:t xml:space="preserve">omité peut, à sa discrétion et avec l’approbation des directeurs, différer une enquête ou s’en dispenser, et ne produire qu’un rapport en vertu du présent Code. </w:t>
      </w:r>
    </w:p>
    <w:p w14:paraId="288EFB79" w14:textId="77777777" w:rsidR="00415FF4" w:rsidRPr="00E7767B" w:rsidRDefault="00415FF4" w:rsidP="00A246F5">
      <w:pPr>
        <w:jc w:val="both"/>
        <w:rPr>
          <w:lang w:val="fr-CA"/>
        </w:rPr>
      </w:pPr>
    </w:p>
    <w:p w14:paraId="39AE37E3" w14:textId="77F42D2E" w:rsidR="000225C3" w:rsidRPr="00E7767B" w:rsidRDefault="00E7767B" w:rsidP="00A246F5">
      <w:pPr>
        <w:jc w:val="both"/>
        <w:rPr>
          <w:lang w:val="fr-CA"/>
        </w:rPr>
      </w:pPr>
      <w:r w:rsidRPr="00E7767B">
        <w:rPr>
          <w:lang w:val="fr-CA"/>
        </w:rPr>
        <w:t>Si un repr</w:t>
      </w:r>
      <w:r>
        <w:rPr>
          <w:lang w:val="fr-CA"/>
        </w:rPr>
        <w:t>é</w:t>
      </w:r>
      <w:r w:rsidRPr="00E7767B">
        <w:rPr>
          <w:lang w:val="fr-CA"/>
        </w:rPr>
        <w:t>sentant de l’ACRT</w:t>
      </w:r>
      <w:r>
        <w:rPr>
          <w:lang w:val="fr-CA"/>
        </w:rPr>
        <w:t xml:space="preserve"> a été, est</w:t>
      </w:r>
      <w:r w:rsidR="006974F9">
        <w:rPr>
          <w:lang w:val="fr-CA"/>
        </w:rPr>
        <w:t>,</w:t>
      </w:r>
      <w:r>
        <w:rPr>
          <w:lang w:val="fr-CA"/>
        </w:rPr>
        <w:t xml:space="preserve"> ou devient le sujet de procédures disciplinaires menées par une institution hôte ou une institution liée (incluant, par exemple, lorsqu’un comportement ou une plainte mène à une enquête ou à une procédure pouvant résulter en la suspension, le congédiement, l’exclusion de certaines fonctions ou d’autres mesures punitives), le représentant de l’ACRT </w:t>
      </w:r>
      <w:r w:rsidR="004365B7">
        <w:rPr>
          <w:lang w:val="fr-CA"/>
        </w:rPr>
        <w:t xml:space="preserve">accepte de divulguer immédiatement de telles informations/actions au président du </w:t>
      </w:r>
      <w:r w:rsidR="006974F9">
        <w:rPr>
          <w:lang w:val="fr-CA"/>
        </w:rPr>
        <w:t>C</w:t>
      </w:r>
      <w:r w:rsidR="004365B7">
        <w:rPr>
          <w:lang w:val="fr-CA"/>
        </w:rPr>
        <w:t xml:space="preserve">omité de conduite qui, à son tour, en informe le président et recommande les prochaines étapes à suivre, incluant toute mesure corrective et disciplinaire. </w:t>
      </w:r>
      <w:r>
        <w:rPr>
          <w:lang w:val="fr-CA"/>
        </w:rPr>
        <w:t xml:space="preserve"> </w:t>
      </w:r>
    </w:p>
    <w:p w14:paraId="1930F7A9" w14:textId="77777777" w:rsidR="00E7767B" w:rsidRPr="00E7767B" w:rsidRDefault="00E7767B">
      <w:pPr>
        <w:rPr>
          <w:lang w:val="fr-CA"/>
        </w:rPr>
      </w:pPr>
    </w:p>
    <w:p w14:paraId="619F9532" w14:textId="77777777" w:rsidR="00B96EEE" w:rsidRPr="00E7767B" w:rsidRDefault="00B96EEE">
      <w:pPr>
        <w:rPr>
          <w:lang w:val="fr-CA"/>
        </w:rPr>
      </w:pPr>
    </w:p>
    <w:p w14:paraId="422B8B96" w14:textId="3FCC34CE" w:rsidR="00DC2715" w:rsidRPr="00E7767B" w:rsidRDefault="00E623B8" w:rsidP="00707562">
      <w:pPr>
        <w:pStyle w:val="TMGenL1"/>
        <w:rPr>
          <w:b/>
          <w:lang w:val="fr-CA"/>
        </w:rPr>
      </w:pPr>
      <w:r w:rsidRPr="00E7767B">
        <w:rPr>
          <w:b/>
          <w:lang w:val="fr-CA"/>
        </w:rPr>
        <w:t>Mesures correctives et disciplinaires</w:t>
      </w:r>
    </w:p>
    <w:p w14:paraId="1B96CCF7" w14:textId="141CCDAB" w:rsidR="00DC2715" w:rsidRDefault="00DC2715" w:rsidP="00DE28DD">
      <w:pPr>
        <w:jc w:val="both"/>
        <w:rPr>
          <w:lang w:val="fr-CA"/>
        </w:rPr>
      </w:pPr>
    </w:p>
    <w:p w14:paraId="300ADCDC" w14:textId="65EE38A1" w:rsidR="000E1E9D" w:rsidRDefault="000E1E9D" w:rsidP="00DE28DD">
      <w:pPr>
        <w:jc w:val="both"/>
        <w:rPr>
          <w:lang w:val="fr-CA"/>
        </w:rPr>
      </w:pPr>
      <w:r>
        <w:rPr>
          <w:lang w:val="fr-CA"/>
        </w:rPr>
        <w:t xml:space="preserve">Le </w:t>
      </w:r>
      <w:r w:rsidR="00372EA1">
        <w:rPr>
          <w:lang w:val="fr-CA"/>
        </w:rPr>
        <w:t>C</w:t>
      </w:r>
      <w:r>
        <w:rPr>
          <w:lang w:val="fr-CA"/>
        </w:rPr>
        <w:t xml:space="preserve">omité de conduite informera le président dans un délai convenable de : (i) la réception d’un rapport et </w:t>
      </w:r>
      <w:r w:rsidR="00C46EBC">
        <w:rPr>
          <w:lang w:val="fr-CA"/>
        </w:rPr>
        <w:t>la</w:t>
      </w:r>
      <w:r>
        <w:rPr>
          <w:lang w:val="fr-CA"/>
        </w:rPr>
        <w:t xml:space="preserve"> nature</w:t>
      </w:r>
      <w:r w:rsidR="00C46EBC">
        <w:rPr>
          <w:lang w:val="fr-CA"/>
        </w:rPr>
        <w:t xml:space="preserve"> de celui-ci</w:t>
      </w:r>
      <w:r w:rsidR="00F563FA">
        <w:rPr>
          <w:lang w:val="fr-CA"/>
        </w:rPr>
        <w:t> </w:t>
      </w:r>
      <w:r>
        <w:rPr>
          <w:lang w:val="fr-CA"/>
        </w:rPr>
        <w:t>; (ii) les mesures prises pour répondre au rapport, incluant la nature, le champ et les faits constatés par toute enquête</w:t>
      </w:r>
      <w:r w:rsidR="00F563FA">
        <w:rPr>
          <w:lang w:val="fr-CA"/>
        </w:rPr>
        <w:t> </w:t>
      </w:r>
      <w:r>
        <w:rPr>
          <w:lang w:val="fr-CA"/>
        </w:rPr>
        <w:t xml:space="preserve">; (iii) sous réserve des dispositions du règlement de l’ACRT, les recommandations du </w:t>
      </w:r>
      <w:r w:rsidR="00B9591D">
        <w:rPr>
          <w:lang w:val="fr-CA"/>
        </w:rPr>
        <w:t>C</w:t>
      </w:r>
      <w:r>
        <w:rPr>
          <w:lang w:val="fr-CA"/>
        </w:rPr>
        <w:t xml:space="preserve">omité de conduite quant aux actions correctives finales et/ou aux mesures disciplinaires, s’il y a lieu. Le président doit informer les directeurs de telles recommandations afin de déterminer et </w:t>
      </w:r>
      <w:r w:rsidR="00AE01B2">
        <w:rPr>
          <w:lang w:val="fr-CA"/>
        </w:rPr>
        <w:t xml:space="preserve">de </w:t>
      </w:r>
      <w:r>
        <w:rPr>
          <w:lang w:val="fr-CA"/>
        </w:rPr>
        <w:t xml:space="preserve">fixer les mesures finales. </w:t>
      </w:r>
    </w:p>
    <w:p w14:paraId="2432E847" w14:textId="77777777" w:rsidR="000E1E9D" w:rsidRPr="00E7767B" w:rsidRDefault="000E1E9D" w:rsidP="00DE28DD">
      <w:pPr>
        <w:jc w:val="both"/>
        <w:rPr>
          <w:lang w:val="fr-CA"/>
        </w:rPr>
      </w:pPr>
    </w:p>
    <w:p w14:paraId="699BEB48" w14:textId="0FC5CFC8" w:rsidR="00384FBD" w:rsidRDefault="00384FBD" w:rsidP="00DE28DD">
      <w:pPr>
        <w:jc w:val="both"/>
        <w:rPr>
          <w:lang w:val="fr-CA"/>
        </w:rPr>
      </w:pPr>
      <w:r>
        <w:rPr>
          <w:lang w:val="fr-CA"/>
        </w:rPr>
        <w:t>Sans qu’en soit limité ce qui précède, si la suspension ou l’expulsion d’un membre de l’ACRT est recommandée ou considérée, les mesures disciplinaires concernant les membres explicitées dans les règlements de l’ACRT s’applique</w:t>
      </w:r>
      <w:r w:rsidR="00CE653C">
        <w:rPr>
          <w:lang w:val="fr-CA"/>
        </w:rPr>
        <w:t>nt</w:t>
      </w:r>
      <w:r>
        <w:rPr>
          <w:lang w:val="fr-CA"/>
        </w:rPr>
        <w:t xml:space="preserve">. </w:t>
      </w:r>
    </w:p>
    <w:p w14:paraId="2F369EBB" w14:textId="6D755C0C" w:rsidR="00FA5D14" w:rsidRDefault="00FA5D14" w:rsidP="000225C3">
      <w:pPr>
        <w:rPr>
          <w:lang w:val="fr-CA"/>
        </w:rPr>
      </w:pPr>
    </w:p>
    <w:p w14:paraId="4A592441" w14:textId="77777777" w:rsidR="00384FBD" w:rsidRPr="00CE653C" w:rsidRDefault="00384FBD" w:rsidP="000225C3">
      <w:pPr>
        <w:rPr>
          <w:lang w:val="fr-CA"/>
        </w:rPr>
      </w:pPr>
    </w:p>
    <w:p w14:paraId="5D7447F2" w14:textId="4FD8D317" w:rsidR="00FA5D14" w:rsidRPr="00E7767B" w:rsidRDefault="00E623B8" w:rsidP="00B679EE">
      <w:pPr>
        <w:pStyle w:val="TMGenL1"/>
        <w:rPr>
          <w:b/>
          <w:lang w:val="fr-CA"/>
        </w:rPr>
      </w:pPr>
      <w:r w:rsidRPr="00E7767B">
        <w:rPr>
          <w:b/>
          <w:lang w:val="fr-CA"/>
        </w:rPr>
        <w:t>Confidentialité et tenue des dossiers</w:t>
      </w:r>
    </w:p>
    <w:p w14:paraId="50F8EADA" w14:textId="4C26F1FF" w:rsidR="00FA5D14" w:rsidRDefault="00FA5D14" w:rsidP="00B679EE">
      <w:pPr>
        <w:jc w:val="both"/>
        <w:rPr>
          <w:lang w:val="fr-CA"/>
        </w:rPr>
      </w:pPr>
    </w:p>
    <w:p w14:paraId="0D1E98E9" w14:textId="171BB28E" w:rsidR="00420C9C" w:rsidRDefault="00420C9C" w:rsidP="00B679EE">
      <w:pPr>
        <w:jc w:val="both"/>
        <w:rPr>
          <w:lang w:val="fr-CA"/>
        </w:rPr>
      </w:pPr>
      <w:r>
        <w:rPr>
          <w:lang w:val="fr-CA"/>
        </w:rPr>
        <w:t xml:space="preserve">L’ACRT reconnaît l’importance de la confidentialité lors de ces processus. Sous réserve du respect des dispositions susmentionnées à propos des institutions hôtes et des institutions liées, le </w:t>
      </w:r>
      <w:r w:rsidR="00B679EE">
        <w:rPr>
          <w:lang w:val="fr-CA"/>
        </w:rPr>
        <w:t>C</w:t>
      </w:r>
      <w:r>
        <w:rPr>
          <w:lang w:val="fr-CA"/>
        </w:rPr>
        <w:t>omité de conduite usera de discrétion afin de limiter l’accès aux information</w:t>
      </w:r>
      <w:r w:rsidR="00BD0EB5">
        <w:rPr>
          <w:lang w:val="fr-CA"/>
        </w:rPr>
        <w:t>s</w:t>
      </w:r>
      <w:r>
        <w:rPr>
          <w:lang w:val="fr-CA"/>
        </w:rPr>
        <w:t xml:space="preserve"> sur l’incident de comportement interdit allégué ou sur un rapport, lorsqu’il le juge nécessaire. </w:t>
      </w:r>
    </w:p>
    <w:p w14:paraId="3BC52CDF" w14:textId="16573371" w:rsidR="00420C9C" w:rsidRDefault="00420C9C" w:rsidP="00B679EE">
      <w:pPr>
        <w:jc w:val="both"/>
        <w:rPr>
          <w:lang w:val="fr-CA"/>
        </w:rPr>
      </w:pPr>
    </w:p>
    <w:p w14:paraId="2A5D3405" w14:textId="2C877F39" w:rsidR="00420C9C" w:rsidRDefault="00420C9C" w:rsidP="00B679EE">
      <w:pPr>
        <w:jc w:val="both"/>
        <w:rPr>
          <w:lang w:val="fr-CA"/>
        </w:rPr>
      </w:pPr>
      <w:r>
        <w:rPr>
          <w:lang w:val="fr-CA"/>
        </w:rPr>
        <w:t xml:space="preserve">Le comité gardera </w:t>
      </w:r>
      <w:r w:rsidR="00BD0EB5">
        <w:rPr>
          <w:lang w:val="fr-CA"/>
        </w:rPr>
        <w:t>les</w:t>
      </w:r>
      <w:r>
        <w:rPr>
          <w:lang w:val="fr-CA"/>
        </w:rPr>
        <w:t xml:space="preserve"> dossier</w:t>
      </w:r>
      <w:r w:rsidR="00BD0EB5">
        <w:rPr>
          <w:lang w:val="fr-CA"/>
        </w:rPr>
        <w:t>s</w:t>
      </w:r>
      <w:r>
        <w:rPr>
          <w:lang w:val="fr-CA"/>
        </w:rPr>
        <w:t xml:space="preserve"> liés à tout comportement interdit (avéré ou allégué), tout rapport(s) et/ou toute(s) enquête(s) en lieux sûrs. </w:t>
      </w:r>
    </w:p>
    <w:p w14:paraId="2B6A6978" w14:textId="3B61E5A4" w:rsidR="00E92320" w:rsidRPr="00E7767B" w:rsidRDefault="00E92320" w:rsidP="00B96EEE">
      <w:pPr>
        <w:rPr>
          <w:lang w:val="fr-CA"/>
        </w:rPr>
      </w:pPr>
      <w:bookmarkStart w:id="0" w:name="docsstamplast"/>
    </w:p>
    <w:bookmarkEnd w:id="0"/>
    <w:p w14:paraId="2C5CE6F4" w14:textId="77777777" w:rsidR="00F961F0" w:rsidRPr="00E7767B" w:rsidRDefault="00F961F0" w:rsidP="000225C3">
      <w:pPr>
        <w:rPr>
          <w:lang w:val="fr-CA"/>
        </w:rPr>
      </w:pPr>
    </w:p>
    <w:sectPr w:rsidR="00F961F0" w:rsidRPr="00E776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9578" w14:textId="77777777" w:rsidR="00031752" w:rsidRDefault="00031752">
      <w:r>
        <w:separator/>
      </w:r>
    </w:p>
  </w:endnote>
  <w:endnote w:type="continuationSeparator" w:id="0">
    <w:p w14:paraId="4DDDA08A" w14:textId="77777777" w:rsidR="00031752" w:rsidRDefault="0003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ouvenir Lt BT">
    <w:altName w:val="Georg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80C0" w14:textId="77777777" w:rsidR="00104BE9" w:rsidRDefault="00104BE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C620CA2" w14:textId="77777777" w:rsidR="00104BE9" w:rsidRDefault="00104BE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2F18" w14:textId="77777777" w:rsidR="00104BE9" w:rsidRPr="00143A02" w:rsidRDefault="003F270D" w:rsidP="00E06EAA">
    <w:pPr>
      <w:pStyle w:val="DHPDraftGraphic"/>
    </w:pPr>
    <w:bookmarkStart w:id="1" w:name="DHPDraft"/>
    <w:r>
      <w:pict w14:anchorId="6974D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bookmarkEnd w:id="1"/>
  </w:p>
  <w:p w14:paraId="07CF8E41" w14:textId="77777777" w:rsidR="00104BE9" w:rsidRDefault="00104BE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14:paraId="4091019F" w14:textId="77777777" w:rsidR="00104BE9" w:rsidRDefault="00104BE9">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EF89" w14:textId="77777777" w:rsidR="00104BE9" w:rsidRDefault="0010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482F" w14:textId="77777777" w:rsidR="00031752" w:rsidRDefault="00031752">
      <w:r>
        <w:separator/>
      </w:r>
    </w:p>
  </w:footnote>
  <w:footnote w:type="continuationSeparator" w:id="0">
    <w:p w14:paraId="39C784DE" w14:textId="77777777" w:rsidR="00031752" w:rsidRDefault="0003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40B5" w14:textId="77777777" w:rsidR="00104BE9" w:rsidRDefault="00104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9D9C" w14:textId="77777777" w:rsidR="00104BE9" w:rsidRDefault="00104BE9">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E6E9" w14:textId="77777777" w:rsidR="00104BE9" w:rsidRDefault="00104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CF9"/>
    <w:multiLevelType w:val="hybridMultilevel"/>
    <w:tmpl w:val="545A7E7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CF42CEE"/>
    <w:multiLevelType w:val="hybridMultilevel"/>
    <w:tmpl w:val="BCF6B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593450"/>
    <w:multiLevelType w:val="hybridMultilevel"/>
    <w:tmpl w:val="50B0C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AA1B00"/>
    <w:multiLevelType w:val="multilevel"/>
    <w:tmpl w:val="2B665EAC"/>
    <w:name w:val="TMGen-412056039-F"/>
    <w:styleLink w:val="TMGenList"/>
    <w:lvl w:ilvl="0">
      <w:start w:val="1"/>
      <w:numFmt w:val="decimal"/>
      <w:lvlRestart w:val="0"/>
      <w:pStyle w:val="TMGenL1"/>
      <w:lvlText w:val="%1."/>
      <w:lvlJc w:val="left"/>
      <w:pPr>
        <w:tabs>
          <w:tab w:val="num" w:pos="720"/>
        </w:tabs>
        <w:ind w:left="720" w:hanging="720"/>
      </w:pPr>
      <w:rPr>
        <w:rFonts w:ascii="Calibri" w:hAnsi="Calibri" w:cs="Calibri"/>
        <w:sz w:val="24"/>
      </w:rPr>
    </w:lvl>
    <w:lvl w:ilvl="1">
      <w:start w:val="1"/>
      <w:numFmt w:val="lowerLetter"/>
      <w:pStyle w:val="TMGenL2"/>
      <w:lvlText w:val="(%2)"/>
      <w:lvlJc w:val="left"/>
      <w:pPr>
        <w:tabs>
          <w:tab w:val="num" w:pos="1440"/>
        </w:tabs>
        <w:ind w:left="1440" w:hanging="720"/>
      </w:pPr>
      <w:rPr>
        <w:rFonts w:ascii="Calibri" w:hAnsi="Calibri" w:cs="Calibri"/>
        <w:sz w:val="24"/>
      </w:rPr>
    </w:lvl>
    <w:lvl w:ilvl="2">
      <w:start w:val="1"/>
      <w:numFmt w:val="lowerRoman"/>
      <w:pStyle w:val="TMGenL3"/>
      <w:lvlText w:val="(%3)"/>
      <w:lvlJc w:val="right"/>
      <w:pPr>
        <w:tabs>
          <w:tab w:val="num" w:pos="2160"/>
        </w:tabs>
        <w:ind w:left="2160" w:hanging="432"/>
      </w:pPr>
      <w:rPr>
        <w:rFonts w:ascii="Calibri" w:hAnsi="Calibri" w:cs="Calibri"/>
        <w:sz w:val="24"/>
      </w:rPr>
    </w:lvl>
    <w:lvl w:ilvl="3">
      <w:start w:val="1"/>
      <w:numFmt w:val="upperLetter"/>
      <w:pStyle w:val="TMGenL4"/>
      <w:lvlText w:val="(%4)"/>
      <w:lvlJc w:val="left"/>
      <w:pPr>
        <w:tabs>
          <w:tab w:val="num" w:pos="2880"/>
        </w:tabs>
        <w:ind w:left="2880" w:hanging="720"/>
      </w:pPr>
      <w:rPr>
        <w:rFonts w:ascii="Calibri" w:hAnsi="Calibri" w:cs="Calibri"/>
        <w:sz w:val="24"/>
      </w:rPr>
    </w:lvl>
    <w:lvl w:ilvl="4">
      <w:start w:val="1"/>
      <w:numFmt w:val="upperRoman"/>
      <w:pStyle w:val="TMGenL5"/>
      <w:lvlText w:val="(%5)"/>
      <w:lvlJc w:val="right"/>
      <w:pPr>
        <w:tabs>
          <w:tab w:val="num" w:pos="3600"/>
        </w:tabs>
        <w:ind w:left="3600" w:hanging="432"/>
      </w:pPr>
      <w:rPr>
        <w:rFonts w:ascii="Calibri" w:hAnsi="Calibri" w:cs="Calibri"/>
        <w:sz w:val="24"/>
      </w:rPr>
    </w:lvl>
    <w:lvl w:ilvl="5">
      <w:start w:val="1"/>
      <w:numFmt w:val="decimal"/>
      <w:pStyle w:val="TMGenL6"/>
      <w:lvlText w:val="(%6)"/>
      <w:lvlJc w:val="left"/>
      <w:pPr>
        <w:tabs>
          <w:tab w:val="num" w:pos="4320"/>
        </w:tabs>
        <w:ind w:left="4320" w:hanging="720"/>
      </w:pPr>
      <w:rPr>
        <w:rFonts w:ascii="Calibri" w:hAnsi="Calibri" w:cs="Calibri"/>
        <w:sz w:val="24"/>
      </w:rPr>
    </w:lvl>
    <w:lvl w:ilvl="6">
      <w:start w:val="1"/>
      <w:numFmt w:val="lowerLetter"/>
      <w:pStyle w:val="TMGenL7"/>
      <w:lvlText w:val="%7)"/>
      <w:lvlJc w:val="left"/>
      <w:pPr>
        <w:tabs>
          <w:tab w:val="num" w:pos="5040"/>
        </w:tabs>
        <w:ind w:left="5040" w:hanging="720"/>
      </w:pPr>
      <w:rPr>
        <w:rFonts w:ascii="Calibri" w:hAnsi="Calibri" w:cs="Calibri"/>
        <w:sz w:val="24"/>
      </w:rPr>
    </w:lvl>
    <w:lvl w:ilvl="7">
      <w:start w:val="1"/>
      <w:numFmt w:val="lowerRoman"/>
      <w:pStyle w:val="TMGenL8"/>
      <w:lvlText w:val="%8)"/>
      <w:lvlJc w:val="right"/>
      <w:pPr>
        <w:tabs>
          <w:tab w:val="num" w:pos="5760"/>
        </w:tabs>
        <w:ind w:left="5760" w:hanging="432"/>
      </w:pPr>
      <w:rPr>
        <w:rFonts w:ascii="Calibri" w:hAnsi="Calibri" w:cs="Calibri"/>
        <w:sz w:val="24"/>
      </w:rPr>
    </w:lvl>
    <w:lvl w:ilvl="8">
      <w:start w:val="1"/>
      <w:numFmt w:val="decimal"/>
      <w:pStyle w:val="TMGenL9"/>
      <w:lvlText w:val="%9)"/>
      <w:lvlJc w:val="left"/>
      <w:pPr>
        <w:tabs>
          <w:tab w:val="num" w:pos="6480"/>
        </w:tabs>
        <w:ind w:left="6480" w:hanging="720"/>
      </w:pPr>
      <w:rPr>
        <w:rFonts w:ascii="Calibri" w:hAnsi="Calibri" w:cs="Calibri"/>
        <w:sz w:val="24"/>
      </w:rPr>
    </w:lvl>
  </w:abstractNum>
  <w:abstractNum w:abstractNumId="4" w15:restartNumberingAfterBreak="0">
    <w:nsid w:val="1CBD35F9"/>
    <w:multiLevelType w:val="hybridMultilevel"/>
    <w:tmpl w:val="AAD2C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FBF2D07"/>
    <w:multiLevelType w:val="hybridMultilevel"/>
    <w:tmpl w:val="3EBAE2D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20BF0A91"/>
    <w:multiLevelType w:val="multilevel"/>
    <w:tmpl w:val="1CE862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D537917"/>
    <w:multiLevelType w:val="hybridMultilevel"/>
    <w:tmpl w:val="8BE08DA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EE7575F"/>
    <w:multiLevelType w:val="hybridMultilevel"/>
    <w:tmpl w:val="21CE48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406B062C"/>
    <w:multiLevelType w:val="multilevel"/>
    <w:tmpl w:val="F51A77AC"/>
    <w:lvl w:ilvl="0">
      <w:start w:val="1"/>
      <w:numFmt w:val="decimal"/>
      <w:lvlText w:val="ARTICLE %1: "/>
      <w:lvlJc w:val="left"/>
      <w:pPr>
        <w:ind w:left="1440" w:hanging="1440"/>
      </w:pPr>
      <w:rPr>
        <w:b/>
        <w:i w:val="0"/>
        <w:smallCaps w:val="0"/>
        <w:color w:val="000000"/>
        <w:u w:val="none"/>
      </w:rPr>
    </w:lvl>
    <w:lvl w:ilvl="1">
      <w:start w:val="1"/>
      <w:numFmt w:val="decimal"/>
      <w:lvlText w:val="%1.%2"/>
      <w:lvlJc w:val="left"/>
      <w:pPr>
        <w:ind w:left="0" w:firstLine="0"/>
      </w:pPr>
      <w:rPr>
        <w:rFonts w:ascii="Times New Roman" w:eastAsia="Times New Roman" w:hAnsi="Times New Roman" w:cs="Times New Roman"/>
        <w:b/>
        <w:i w:val="0"/>
        <w:smallCaps w:val="0"/>
        <w:color w:val="000000"/>
        <w:sz w:val="24"/>
        <w:szCs w:val="24"/>
        <w:u w:val="none"/>
      </w:rPr>
    </w:lvl>
    <w:lvl w:ilvl="2">
      <w:start w:val="1"/>
      <w:numFmt w:val="lowerLetter"/>
      <w:lvlText w:val="(%3)"/>
      <w:lvlJc w:val="left"/>
      <w:pPr>
        <w:ind w:left="1440" w:hanging="720"/>
      </w:pPr>
      <w:rPr>
        <w:rFonts w:ascii="Times New Roman" w:eastAsia="Times New Roman" w:hAnsi="Times New Roman" w:cs="Times New Roman"/>
        <w:b w:val="0"/>
        <w:i w:val="0"/>
        <w:smallCaps w:val="0"/>
        <w:color w:val="000000"/>
        <w:sz w:val="24"/>
        <w:szCs w:val="24"/>
        <w:u w:val="none"/>
      </w:rPr>
    </w:lvl>
    <w:lvl w:ilvl="3">
      <w:start w:val="1"/>
      <w:numFmt w:val="lowerRoman"/>
      <w:lvlText w:val="(%4)"/>
      <w:lvlJc w:val="right"/>
      <w:pPr>
        <w:ind w:left="1782" w:hanging="432"/>
      </w:pPr>
      <w:rPr>
        <w:rFonts w:ascii="Times New Roman" w:eastAsia="Times New Roman" w:hAnsi="Times New Roman" w:cs="Times New Roman"/>
        <w:b w:val="0"/>
        <w:i w:val="0"/>
        <w:smallCaps w:val="0"/>
        <w:color w:val="000000"/>
        <w:sz w:val="24"/>
        <w:szCs w:val="24"/>
        <w:u w:val="none"/>
      </w:rPr>
    </w:lvl>
    <w:lvl w:ilvl="4">
      <w:start w:val="1"/>
      <w:numFmt w:val="upperLetter"/>
      <w:lvlText w:val="(%5)"/>
      <w:lvlJc w:val="left"/>
      <w:pPr>
        <w:ind w:left="2880" w:hanging="720"/>
      </w:pPr>
      <w:rPr>
        <w:rFonts w:ascii="Times New Roman" w:eastAsia="Times New Roman" w:hAnsi="Times New Roman" w:cs="Times New Roman"/>
        <w:b w:val="0"/>
        <w:i w:val="0"/>
        <w:smallCaps w:val="0"/>
        <w:color w:val="000000"/>
        <w:sz w:val="24"/>
        <w:szCs w:val="24"/>
        <w:u w:val="none"/>
      </w:rPr>
    </w:lvl>
    <w:lvl w:ilvl="5">
      <w:start w:val="1"/>
      <w:numFmt w:val="lowerRoman"/>
      <w:lvlText w:val="(%6)"/>
      <w:lvlJc w:val="right"/>
      <w:pPr>
        <w:ind w:left="3600" w:hanging="432"/>
      </w:pPr>
      <w:rPr>
        <w:rFonts w:ascii="Times New Roman" w:eastAsia="Times New Roman" w:hAnsi="Times New Roman" w:cs="Times New Roman"/>
        <w:b w:val="0"/>
        <w:i w:val="0"/>
        <w:smallCaps w:val="0"/>
        <w:color w:val="000000"/>
        <w:sz w:val="24"/>
        <w:szCs w:val="24"/>
        <w:u w:val="none"/>
      </w:rPr>
    </w:lvl>
    <w:lvl w:ilvl="6">
      <w:start w:val="1"/>
      <w:numFmt w:val="decimal"/>
      <w:lvlText w:val="(%7)"/>
      <w:lvlJc w:val="left"/>
      <w:pPr>
        <w:ind w:left="4320" w:hanging="720"/>
      </w:pPr>
      <w:rPr>
        <w:rFonts w:ascii="Times New Roman" w:eastAsia="Times New Roman" w:hAnsi="Times New Roman" w:cs="Times New Roman"/>
        <w:b w:val="0"/>
        <w:i w:val="0"/>
        <w:smallCaps w:val="0"/>
        <w:color w:val="000000"/>
        <w:sz w:val="24"/>
        <w:szCs w:val="24"/>
        <w:u w:val="none"/>
      </w:rPr>
    </w:lvl>
    <w:lvl w:ilvl="7">
      <w:start w:val="1"/>
      <w:numFmt w:val="lowerLetter"/>
      <w:lvlText w:val="%8)"/>
      <w:lvlJc w:val="left"/>
      <w:pPr>
        <w:ind w:left="5040" w:hanging="720"/>
      </w:pPr>
      <w:rPr>
        <w:rFonts w:ascii="Times New Roman" w:eastAsia="Times New Roman" w:hAnsi="Times New Roman" w:cs="Times New Roman"/>
        <w:b w:val="0"/>
        <w:i w:val="0"/>
        <w:smallCaps w:val="0"/>
        <w:color w:val="000000"/>
        <w:sz w:val="24"/>
        <w:szCs w:val="24"/>
        <w:u w:val="none"/>
      </w:rPr>
    </w:lvl>
    <w:lvl w:ilvl="8">
      <w:start w:val="1"/>
      <w:numFmt w:val="lowerRoman"/>
      <w:lvlText w:val="%9)"/>
      <w:lvlJc w:val="right"/>
      <w:pPr>
        <w:ind w:left="5760" w:hanging="432"/>
      </w:pPr>
      <w:rPr>
        <w:rFonts w:ascii="Times New Roman" w:eastAsia="Times New Roman" w:hAnsi="Times New Roman" w:cs="Times New Roman"/>
        <w:b w:val="0"/>
        <w:i w:val="0"/>
        <w:smallCaps w:val="0"/>
        <w:color w:val="000000"/>
        <w:sz w:val="24"/>
        <w:szCs w:val="24"/>
        <w:u w:val="none"/>
      </w:rPr>
    </w:lvl>
  </w:abstractNum>
  <w:abstractNum w:abstractNumId="10" w15:restartNumberingAfterBreak="0">
    <w:nsid w:val="427A7428"/>
    <w:multiLevelType w:val="multilevel"/>
    <w:tmpl w:val="C11E1E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42219D6"/>
    <w:multiLevelType w:val="multilevel"/>
    <w:tmpl w:val="9E1C3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CE70F2"/>
    <w:multiLevelType w:val="hybridMultilevel"/>
    <w:tmpl w:val="826C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651BF"/>
    <w:multiLevelType w:val="hybridMultilevel"/>
    <w:tmpl w:val="8146DA6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4B3876C7"/>
    <w:multiLevelType w:val="multilevel"/>
    <w:tmpl w:val="F7E0F8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1DA5A92"/>
    <w:multiLevelType w:val="multilevel"/>
    <w:tmpl w:val="828C995C"/>
    <w:styleLink w:val="TMArtMList"/>
    <w:lvl w:ilvl="0">
      <w:start w:val="1"/>
      <w:numFmt w:val="decimal"/>
      <w:lvlRestart w:val="0"/>
      <w:pStyle w:val="TMArtML1"/>
      <w:suff w:val="space"/>
      <w:lvlText w:val="ARTICLE %1: "/>
      <w:lvlJc w:val="left"/>
      <w:pPr>
        <w:tabs>
          <w:tab w:val="num" w:pos="1440"/>
        </w:tabs>
        <w:ind w:left="1440" w:hanging="1440"/>
      </w:pPr>
      <w:rPr>
        <w:b/>
        <w:i w:val="0"/>
        <w:caps/>
        <w:smallCaps w:val="0"/>
        <w:color w:val="auto"/>
        <w:u w:val="none"/>
      </w:rPr>
    </w:lvl>
    <w:lvl w:ilvl="1">
      <w:start w:val="1"/>
      <w:numFmt w:val="decimal"/>
      <w:pStyle w:val="TMArtML2"/>
      <w:lvlText w:val="%1.%2"/>
      <w:lvlJc w:val="left"/>
      <w:pPr>
        <w:tabs>
          <w:tab w:val="num" w:pos="720"/>
        </w:tabs>
        <w:ind w:left="0" w:firstLine="0"/>
      </w:pPr>
      <w:rPr>
        <w:rFonts w:ascii="Times New Roman" w:hAnsi="Times New Roman" w:cs="Times New Roman"/>
        <w:b/>
        <w:i w:val="0"/>
        <w:caps w:val="0"/>
        <w:smallCaps w:val="0"/>
        <w:color w:val="auto"/>
        <w:sz w:val="24"/>
        <w:u w:val="none"/>
      </w:rPr>
    </w:lvl>
    <w:lvl w:ilvl="2">
      <w:start w:val="1"/>
      <w:numFmt w:val="lowerLetter"/>
      <w:pStyle w:val="TMArtML3"/>
      <w:lvlText w:val="(%3)"/>
      <w:lvlJc w:val="left"/>
      <w:pPr>
        <w:tabs>
          <w:tab w:val="num" w:pos="1440"/>
        </w:tabs>
        <w:ind w:left="1440" w:hanging="720"/>
      </w:pPr>
      <w:rPr>
        <w:rFonts w:ascii="Times New Roman" w:hAnsi="Times New Roman" w:cs="Times New Roman"/>
        <w:b w:val="0"/>
        <w:i w:val="0"/>
        <w:caps w:val="0"/>
        <w:smallCaps w:val="0"/>
        <w:color w:val="auto"/>
        <w:sz w:val="24"/>
        <w:u w:val="none"/>
      </w:rPr>
    </w:lvl>
    <w:lvl w:ilvl="3">
      <w:start w:val="1"/>
      <w:numFmt w:val="lowerRoman"/>
      <w:pStyle w:val="TMArtML4"/>
      <w:lvlText w:val="(%4)"/>
      <w:lvlJc w:val="right"/>
      <w:pPr>
        <w:tabs>
          <w:tab w:val="num" w:pos="1782"/>
        </w:tabs>
        <w:ind w:left="1782" w:hanging="432"/>
      </w:pPr>
      <w:rPr>
        <w:rFonts w:ascii="Times New Roman" w:hAnsi="Times New Roman" w:cs="Times New Roman"/>
        <w:b w:val="0"/>
        <w:i w:val="0"/>
        <w:caps w:val="0"/>
        <w:smallCaps w:val="0"/>
        <w:color w:val="auto"/>
        <w:sz w:val="24"/>
        <w:u w:val="none"/>
      </w:rPr>
    </w:lvl>
    <w:lvl w:ilvl="4">
      <w:start w:val="1"/>
      <w:numFmt w:val="upperLetter"/>
      <w:pStyle w:val="TMArtML5"/>
      <w:lvlText w:val="(%5)"/>
      <w:lvlJc w:val="left"/>
      <w:pPr>
        <w:tabs>
          <w:tab w:val="num" w:pos="2880"/>
        </w:tabs>
        <w:ind w:left="2880" w:hanging="720"/>
      </w:pPr>
      <w:rPr>
        <w:rFonts w:ascii="Times New Roman" w:hAnsi="Times New Roman" w:cs="Times New Roman"/>
        <w:b w:val="0"/>
        <w:i w:val="0"/>
        <w:caps w:val="0"/>
        <w:smallCaps w:val="0"/>
        <w:color w:val="auto"/>
        <w:sz w:val="24"/>
        <w:u w:val="none"/>
      </w:rPr>
    </w:lvl>
    <w:lvl w:ilvl="5">
      <w:start w:val="1"/>
      <w:numFmt w:val="lowerRoman"/>
      <w:pStyle w:val="TMArtML6"/>
      <w:lvlText w:val="(%6)"/>
      <w:lvlJc w:val="right"/>
      <w:pPr>
        <w:tabs>
          <w:tab w:val="num" w:pos="3600"/>
        </w:tabs>
        <w:ind w:left="3600" w:hanging="432"/>
      </w:pPr>
      <w:rPr>
        <w:rFonts w:ascii="Times New Roman" w:hAnsi="Times New Roman" w:cs="Times New Roman"/>
        <w:b w:val="0"/>
        <w:i w:val="0"/>
        <w:caps w:val="0"/>
        <w:smallCaps w:val="0"/>
        <w:color w:val="auto"/>
        <w:sz w:val="24"/>
        <w:u w:val="none"/>
      </w:rPr>
    </w:lvl>
    <w:lvl w:ilvl="6">
      <w:start w:val="1"/>
      <w:numFmt w:val="decimal"/>
      <w:pStyle w:val="TMArtML7"/>
      <w:lvlText w:val="(%7)"/>
      <w:lvlJc w:val="left"/>
      <w:pPr>
        <w:tabs>
          <w:tab w:val="num" w:pos="4320"/>
        </w:tabs>
        <w:ind w:left="4320" w:hanging="720"/>
      </w:pPr>
      <w:rPr>
        <w:rFonts w:ascii="Times New Roman" w:hAnsi="Times New Roman" w:cs="Times New Roman"/>
        <w:b w:val="0"/>
        <w:i w:val="0"/>
        <w:caps w:val="0"/>
        <w:smallCaps w:val="0"/>
        <w:color w:val="auto"/>
        <w:sz w:val="24"/>
        <w:u w:val="none"/>
      </w:rPr>
    </w:lvl>
    <w:lvl w:ilvl="7">
      <w:start w:val="1"/>
      <w:numFmt w:val="lowerLetter"/>
      <w:pStyle w:val="TMArtML8"/>
      <w:lvlText w:val="%8)"/>
      <w:lvlJc w:val="left"/>
      <w:pPr>
        <w:tabs>
          <w:tab w:val="num" w:pos="5040"/>
        </w:tabs>
        <w:ind w:left="5040" w:hanging="720"/>
      </w:pPr>
      <w:rPr>
        <w:rFonts w:ascii="Times New Roman" w:hAnsi="Times New Roman" w:cs="Times New Roman"/>
        <w:b w:val="0"/>
        <w:i w:val="0"/>
        <w:caps w:val="0"/>
        <w:smallCaps w:val="0"/>
        <w:color w:val="auto"/>
        <w:sz w:val="24"/>
        <w:u w:val="none"/>
      </w:rPr>
    </w:lvl>
    <w:lvl w:ilvl="8">
      <w:start w:val="1"/>
      <w:numFmt w:val="lowerRoman"/>
      <w:pStyle w:val="TMArtML9"/>
      <w:lvlText w:val="%9)"/>
      <w:lvlJc w:val="right"/>
      <w:pPr>
        <w:tabs>
          <w:tab w:val="num" w:pos="5760"/>
        </w:tabs>
        <w:ind w:left="5760" w:hanging="432"/>
      </w:pPr>
      <w:rPr>
        <w:rFonts w:ascii="Times New Roman" w:hAnsi="Times New Roman" w:cs="Times New Roman"/>
        <w:b w:val="0"/>
        <w:i w:val="0"/>
        <w:caps w:val="0"/>
        <w:smallCaps w:val="0"/>
        <w:color w:val="auto"/>
        <w:sz w:val="24"/>
        <w:u w:val="none"/>
      </w:rPr>
    </w:lvl>
  </w:abstractNum>
  <w:abstractNum w:abstractNumId="16" w15:restartNumberingAfterBreak="0">
    <w:nsid w:val="647F1AF7"/>
    <w:multiLevelType w:val="hybridMultilevel"/>
    <w:tmpl w:val="50CE7D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731300BD"/>
    <w:multiLevelType w:val="multilevel"/>
    <w:tmpl w:val="107E2268"/>
    <w:lvl w:ilvl="0">
      <w:start w:val="3"/>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77C3370D"/>
    <w:multiLevelType w:val="hybridMultilevel"/>
    <w:tmpl w:val="C408E7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797D739D"/>
    <w:multiLevelType w:val="hybridMultilevel"/>
    <w:tmpl w:val="4C2A7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586092"/>
    <w:multiLevelType w:val="hybridMultilevel"/>
    <w:tmpl w:val="2C24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11"/>
  </w:num>
  <w:num w:numId="5">
    <w:abstractNumId w:val="9"/>
  </w:num>
  <w:num w:numId="6">
    <w:abstractNumId w:val="14"/>
  </w:num>
  <w:num w:numId="7">
    <w:abstractNumId w:val="18"/>
  </w:num>
  <w:num w:numId="8">
    <w:abstractNumId w:val="1"/>
  </w:num>
  <w:num w:numId="9">
    <w:abstractNumId w:val="19"/>
  </w:num>
  <w:num w:numId="10">
    <w:abstractNumId w:val="5"/>
  </w:num>
  <w:num w:numId="11">
    <w:abstractNumId w:val="7"/>
  </w:num>
  <w:num w:numId="12">
    <w:abstractNumId w:val="2"/>
  </w:num>
  <w:num w:numId="13">
    <w:abstractNumId w:val="0"/>
  </w:num>
  <w:num w:numId="14">
    <w:abstractNumId w:val="13"/>
  </w:num>
  <w:num w:numId="15">
    <w:abstractNumId w:val="16"/>
  </w:num>
  <w:num w:numId="16">
    <w:abstractNumId w:val="3"/>
    <w:lvlOverride w:ilvl="1">
      <w:lvl w:ilvl="1">
        <w:start w:val="1"/>
        <w:numFmt w:val="lowerLetter"/>
        <w:pStyle w:val="TMGenL2"/>
        <w:lvlText w:val="(%2)"/>
        <w:lvlJc w:val="left"/>
        <w:pPr>
          <w:tabs>
            <w:tab w:val="num" w:pos="1440"/>
          </w:tabs>
          <w:ind w:left="1440" w:hanging="720"/>
        </w:pPr>
        <w:rPr>
          <w:rFonts w:ascii="Calibri" w:hAnsi="Calibri" w:cs="Calibri"/>
          <w:b w:val="0"/>
          <w:bCs/>
          <w:sz w:val="24"/>
        </w:rPr>
      </w:lvl>
    </w:lvlOverride>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5"/>
  </w:num>
  <w:num w:numId="27">
    <w:abstractNumId w:val="3"/>
  </w:num>
  <w:num w:numId="28">
    <w:abstractNumId w:val="12"/>
  </w:num>
  <w:num w:numId="29">
    <w:abstractNumId w:val="20"/>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56"/>
    <w:rsid w:val="00003768"/>
    <w:rsid w:val="00004585"/>
    <w:rsid w:val="00012522"/>
    <w:rsid w:val="000225C3"/>
    <w:rsid w:val="00031752"/>
    <w:rsid w:val="000324FE"/>
    <w:rsid w:val="00036458"/>
    <w:rsid w:val="00045BC0"/>
    <w:rsid w:val="00046719"/>
    <w:rsid w:val="000506C8"/>
    <w:rsid w:val="00054C93"/>
    <w:rsid w:val="000612F5"/>
    <w:rsid w:val="0007121E"/>
    <w:rsid w:val="00075BCE"/>
    <w:rsid w:val="000819D0"/>
    <w:rsid w:val="00085572"/>
    <w:rsid w:val="00094C00"/>
    <w:rsid w:val="000A035E"/>
    <w:rsid w:val="000A7C46"/>
    <w:rsid w:val="000B1E47"/>
    <w:rsid w:val="000C4697"/>
    <w:rsid w:val="000C7DA8"/>
    <w:rsid w:val="000E0A71"/>
    <w:rsid w:val="000E0EAA"/>
    <w:rsid w:val="000E1E9D"/>
    <w:rsid w:val="000E458D"/>
    <w:rsid w:val="000E52E7"/>
    <w:rsid w:val="000E6876"/>
    <w:rsid w:val="000E759A"/>
    <w:rsid w:val="000F2291"/>
    <w:rsid w:val="000F3FF8"/>
    <w:rsid w:val="000F55EA"/>
    <w:rsid w:val="00104BE9"/>
    <w:rsid w:val="00110D91"/>
    <w:rsid w:val="001125B1"/>
    <w:rsid w:val="0011383A"/>
    <w:rsid w:val="00114CF3"/>
    <w:rsid w:val="00121747"/>
    <w:rsid w:val="001217B8"/>
    <w:rsid w:val="0012215D"/>
    <w:rsid w:val="001234A7"/>
    <w:rsid w:val="00134650"/>
    <w:rsid w:val="00156DB1"/>
    <w:rsid w:val="001574ED"/>
    <w:rsid w:val="00160A36"/>
    <w:rsid w:val="00171961"/>
    <w:rsid w:val="0017511D"/>
    <w:rsid w:val="001821A8"/>
    <w:rsid w:val="00184B96"/>
    <w:rsid w:val="00185795"/>
    <w:rsid w:val="00192614"/>
    <w:rsid w:val="001A0C9C"/>
    <w:rsid w:val="001A55FA"/>
    <w:rsid w:val="001D379F"/>
    <w:rsid w:val="001D72E7"/>
    <w:rsid w:val="001D74EA"/>
    <w:rsid w:val="001E1AA3"/>
    <w:rsid w:val="001F532F"/>
    <w:rsid w:val="002069F5"/>
    <w:rsid w:val="00207402"/>
    <w:rsid w:val="00210F98"/>
    <w:rsid w:val="002139E1"/>
    <w:rsid w:val="00221842"/>
    <w:rsid w:val="00245E4A"/>
    <w:rsid w:val="00247482"/>
    <w:rsid w:val="00253FC4"/>
    <w:rsid w:val="002628E9"/>
    <w:rsid w:val="002664A8"/>
    <w:rsid w:val="002821B0"/>
    <w:rsid w:val="002821DD"/>
    <w:rsid w:val="00284E70"/>
    <w:rsid w:val="00284F4F"/>
    <w:rsid w:val="002C2B6B"/>
    <w:rsid w:val="002C7293"/>
    <w:rsid w:val="002E0C88"/>
    <w:rsid w:val="002E5D00"/>
    <w:rsid w:val="00300020"/>
    <w:rsid w:val="003133C5"/>
    <w:rsid w:val="0032196B"/>
    <w:rsid w:val="003245E8"/>
    <w:rsid w:val="003274D9"/>
    <w:rsid w:val="00336C70"/>
    <w:rsid w:val="00372094"/>
    <w:rsid w:val="00372EA1"/>
    <w:rsid w:val="00374A1A"/>
    <w:rsid w:val="003824B0"/>
    <w:rsid w:val="00384B06"/>
    <w:rsid w:val="00384FBD"/>
    <w:rsid w:val="00387654"/>
    <w:rsid w:val="00395229"/>
    <w:rsid w:val="003B020A"/>
    <w:rsid w:val="003B3059"/>
    <w:rsid w:val="003B5889"/>
    <w:rsid w:val="003B5F56"/>
    <w:rsid w:val="003B681B"/>
    <w:rsid w:val="003C5F2D"/>
    <w:rsid w:val="003C6E98"/>
    <w:rsid w:val="003D064C"/>
    <w:rsid w:val="003D1612"/>
    <w:rsid w:val="003D2E05"/>
    <w:rsid w:val="003D3171"/>
    <w:rsid w:val="003D4B3E"/>
    <w:rsid w:val="003E1B08"/>
    <w:rsid w:val="003F270D"/>
    <w:rsid w:val="003F2FC3"/>
    <w:rsid w:val="003F7D0E"/>
    <w:rsid w:val="004139F6"/>
    <w:rsid w:val="00415FF4"/>
    <w:rsid w:val="004163B7"/>
    <w:rsid w:val="00420C9C"/>
    <w:rsid w:val="00422678"/>
    <w:rsid w:val="00427C32"/>
    <w:rsid w:val="004365B7"/>
    <w:rsid w:val="00462586"/>
    <w:rsid w:val="004723C3"/>
    <w:rsid w:val="0048045D"/>
    <w:rsid w:val="004C33F3"/>
    <w:rsid w:val="004D07DB"/>
    <w:rsid w:val="004E15E6"/>
    <w:rsid w:val="004F0044"/>
    <w:rsid w:val="004F0E23"/>
    <w:rsid w:val="0050625F"/>
    <w:rsid w:val="0051038E"/>
    <w:rsid w:val="00515566"/>
    <w:rsid w:val="00515B2F"/>
    <w:rsid w:val="005243A1"/>
    <w:rsid w:val="00533D87"/>
    <w:rsid w:val="00540BD9"/>
    <w:rsid w:val="00553899"/>
    <w:rsid w:val="00557A69"/>
    <w:rsid w:val="00560656"/>
    <w:rsid w:val="005613AF"/>
    <w:rsid w:val="00572C19"/>
    <w:rsid w:val="00583EF3"/>
    <w:rsid w:val="005903D8"/>
    <w:rsid w:val="00591497"/>
    <w:rsid w:val="005A66DD"/>
    <w:rsid w:val="005B3B0C"/>
    <w:rsid w:val="005C3142"/>
    <w:rsid w:val="005D2274"/>
    <w:rsid w:val="005E7FBC"/>
    <w:rsid w:val="005F0053"/>
    <w:rsid w:val="005F41ED"/>
    <w:rsid w:val="00603FD3"/>
    <w:rsid w:val="006048AA"/>
    <w:rsid w:val="0061053B"/>
    <w:rsid w:val="006150FC"/>
    <w:rsid w:val="006245A3"/>
    <w:rsid w:val="00625BBD"/>
    <w:rsid w:val="00625FF6"/>
    <w:rsid w:val="006305E9"/>
    <w:rsid w:val="00641191"/>
    <w:rsid w:val="006429EE"/>
    <w:rsid w:val="00646572"/>
    <w:rsid w:val="00654FB1"/>
    <w:rsid w:val="006637DF"/>
    <w:rsid w:val="00674DBF"/>
    <w:rsid w:val="00677210"/>
    <w:rsid w:val="006776D2"/>
    <w:rsid w:val="00681766"/>
    <w:rsid w:val="00684165"/>
    <w:rsid w:val="00695B41"/>
    <w:rsid w:val="006974F9"/>
    <w:rsid w:val="006A35BB"/>
    <w:rsid w:val="006A40DE"/>
    <w:rsid w:val="006A6877"/>
    <w:rsid w:val="006D0051"/>
    <w:rsid w:val="006D005C"/>
    <w:rsid w:val="006D3751"/>
    <w:rsid w:val="006F33DB"/>
    <w:rsid w:val="00701DC1"/>
    <w:rsid w:val="00706802"/>
    <w:rsid w:val="00707562"/>
    <w:rsid w:val="00724DEE"/>
    <w:rsid w:val="00733DE9"/>
    <w:rsid w:val="00747FB1"/>
    <w:rsid w:val="00750933"/>
    <w:rsid w:val="00766CBA"/>
    <w:rsid w:val="007725D5"/>
    <w:rsid w:val="007844F0"/>
    <w:rsid w:val="00796337"/>
    <w:rsid w:val="007979E3"/>
    <w:rsid w:val="007A3DE5"/>
    <w:rsid w:val="007A6798"/>
    <w:rsid w:val="007A6852"/>
    <w:rsid w:val="007C4B5C"/>
    <w:rsid w:val="007C7E7F"/>
    <w:rsid w:val="007D289A"/>
    <w:rsid w:val="007D6EDE"/>
    <w:rsid w:val="007E1D8B"/>
    <w:rsid w:val="00811328"/>
    <w:rsid w:val="0082372C"/>
    <w:rsid w:val="008252F8"/>
    <w:rsid w:val="00825F9B"/>
    <w:rsid w:val="00827359"/>
    <w:rsid w:val="00832DA2"/>
    <w:rsid w:val="008332FF"/>
    <w:rsid w:val="008345CE"/>
    <w:rsid w:val="00840988"/>
    <w:rsid w:val="008411B6"/>
    <w:rsid w:val="00842476"/>
    <w:rsid w:val="00850481"/>
    <w:rsid w:val="00863E5E"/>
    <w:rsid w:val="00865C89"/>
    <w:rsid w:val="008714C8"/>
    <w:rsid w:val="00872716"/>
    <w:rsid w:val="00877DAE"/>
    <w:rsid w:val="008803E8"/>
    <w:rsid w:val="0088231E"/>
    <w:rsid w:val="0088755F"/>
    <w:rsid w:val="008955B2"/>
    <w:rsid w:val="008A1F40"/>
    <w:rsid w:val="008A618F"/>
    <w:rsid w:val="008B173C"/>
    <w:rsid w:val="008B1D83"/>
    <w:rsid w:val="008D4BB9"/>
    <w:rsid w:val="008F64E5"/>
    <w:rsid w:val="00903FCE"/>
    <w:rsid w:val="0091308D"/>
    <w:rsid w:val="0093636C"/>
    <w:rsid w:val="00937687"/>
    <w:rsid w:val="0094312F"/>
    <w:rsid w:val="00951EE7"/>
    <w:rsid w:val="009649EC"/>
    <w:rsid w:val="009673BF"/>
    <w:rsid w:val="009737E4"/>
    <w:rsid w:val="00982D56"/>
    <w:rsid w:val="00983AB6"/>
    <w:rsid w:val="00993964"/>
    <w:rsid w:val="00993CD6"/>
    <w:rsid w:val="00995D21"/>
    <w:rsid w:val="009A1579"/>
    <w:rsid w:val="009B0F44"/>
    <w:rsid w:val="009B43DB"/>
    <w:rsid w:val="009B5BCF"/>
    <w:rsid w:val="009C2C89"/>
    <w:rsid w:val="009C38AB"/>
    <w:rsid w:val="009D4D3B"/>
    <w:rsid w:val="009D5034"/>
    <w:rsid w:val="009E30BE"/>
    <w:rsid w:val="00A01488"/>
    <w:rsid w:val="00A015C7"/>
    <w:rsid w:val="00A04C54"/>
    <w:rsid w:val="00A146A5"/>
    <w:rsid w:val="00A20B37"/>
    <w:rsid w:val="00A22BB9"/>
    <w:rsid w:val="00A246F5"/>
    <w:rsid w:val="00A322FD"/>
    <w:rsid w:val="00A45E78"/>
    <w:rsid w:val="00A47EF5"/>
    <w:rsid w:val="00A5277D"/>
    <w:rsid w:val="00A60F42"/>
    <w:rsid w:val="00A63F04"/>
    <w:rsid w:val="00A75CA3"/>
    <w:rsid w:val="00A776DC"/>
    <w:rsid w:val="00A82F5D"/>
    <w:rsid w:val="00A85ABD"/>
    <w:rsid w:val="00AB332A"/>
    <w:rsid w:val="00AC4DF6"/>
    <w:rsid w:val="00AD0FD1"/>
    <w:rsid w:val="00AD3DCE"/>
    <w:rsid w:val="00AD7879"/>
    <w:rsid w:val="00AE01B2"/>
    <w:rsid w:val="00AE5622"/>
    <w:rsid w:val="00AE6FF6"/>
    <w:rsid w:val="00AF275F"/>
    <w:rsid w:val="00B07C0B"/>
    <w:rsid w:val="00B45DC3"/>
    <w:rsid w:val="00B507AA"/>
    <w:rsid w:val="00B511CA"/>
    <w:rsid w:val="00B52439"/>
    <w:rsid w:val="00B5367A"/>
    <w:rsid w:val="00B53980"/>
    <w:rsid w:val="00B602F0"/>
    <w:rsid w:val="00B62635"/>
    <w:rsid w:val="00B679EE"/>
    <w:rsid w:val="00B71503"/>
    <w:rsid w:val="00B77B57"/>
    <w:rsid w:val="00B82B18"/>
    <w:rsid w:val="00B9591D"/>
    <w:rsid w:val="00B96EEE"/>
    <w:rsid w:val="00B975F3"/>
    <w:rsid w:val="00BA2A6C"/>
    <w:rsid w:val="00BA62DF"/>
    <w:rsid w:val="00BB7B92"/>
    <w:rsid w:val="00BD0D15"/>
    <w:rsid w:val="00BD0EB5"/>
    <w:rsid w:val="00BD6F13"/>
    <w:rsid w:val="00BE0BED"/>
    <w:rsid w:val="00BE76B0"/>
    <w:rsid w:val="00BE77C9"/>
    <w:rsid w:val="00C0107D"/>
    <w:rsid w:val="00C020E5"/>
    <w:rsid w:val="00C0618D"/>
    <w:rsid w:val="00C06671"/>
    <w:rsid w:val="00C06816"/>
    <w:rsid w:val="00C16ED7"/>
    <w:rsid w:val="00C22B6E"/>
    <w:rsid w:val="00C26D06"/>
    <w:rsid w:val="00C2767E"/>
    <w:rsid w:val="00C34673"/>
    <w:rsid w:val="00C34D7A"/>
    <w:rsid w:val="00C409B4"/>
    <w:rsid w:val="00C46EBC"/>
    <w:rsid w:val="00C54DC3"/>
    <w:rsid w:val="00C60B50"/>
    <w:rsid w:val="00C73DCE"/>
    <w:rsid w:val="00C7743F"/>
    <w:rsid w:val="00C96497"/>
    <w:rsid w:val="00C968AB"/>
    <w:rsid w:val="00CA077B"/>
    <w:rsid w:val="00CB4DBE"/>
    <w:rsid w:val="00CB5023"/>
    <w:rsid w:val="00CC50C3"/>
    <w:rsid w:val="00CE34AF"/>
    <w:rsid w:val="00CE3C22"/>
    <w:rsid w:val="00CE653C"/>
    <w:rsid w:val="00D01C36"/>
    <w:rsid w:val="00D15BE0"/>
    <w:rsid w:val="00D27259"/>
    <w:rsid w:val="00D4223E"/>
    <w:rsid w:val="00D47C6A"/>
    <w:rsid w:val="00D57A41"/>
    <w:rsid w:val="00D63C9A"/>
    <w:rsid w:val="00D90CB5"/>
    <w:rsid w:val="00DB50CE"/>
    <w:rsid w:val="00DC115A"/>
    <w:rsid w:val="00DC1F6C"/>
    <w:rsid w:val="00DC2715"/>
    <w:rsid w:val="00DC49CC"/>
    <w:rsid w:val="00DC54BF"/>
    <w:rsid w:val="00DE28DD"/>
    <w:rsid w:val="00DE43CB"/>
    <w:rsid w:val="00DF5014"/>
    <w:rsid w:val="00E01E0D"/>
    <w:rsid w:val="00E02907"/>
    <w:rsid w:val="00E051B8"/>
    <w:rsid w:val="00E06EAA"/>
    <w:rsid w:val="00E14C03"/>
    <w:rsid w:val="00E160F5"/>
    <w:rsid w:val="00E26C74"/>
    <w:rsid w:val="00E45039"/>
    <w:rsid w:val="00E51E03"/>
    <w:rsid w:val="00E52CE1"/>
    <w:rsid w:val="00E61D16"/>
    <w:rsid w:val="00E623B8"/>
    <w:rsid w:val="00E6318D"/>
    <w:rsid w:val="00E6466C"/>
    <w:rsid w:val="00E7329F"/>
    <w:rsid w:val="00E76621"/>
    <w:rsid w:val="00E7767B"/>
    <w:rsid w:val="00E778FC"/>
    <w:rsid w:val="00E8566F"/>
    <w:rsid w:val="00E86622"/>
    <w:rsid w:val="00E9003A"/>
    <w:rsid w:val="00E92320"/>
    <w:rsid w:val="00EB10B3"/>
    <w:rsid w:val="00EB2B9B"/>
    <w:rsid w:val="00EB3F2D"/>
    <w:rsid w:val="00EC2F4D"/>
    <w:rsid w:val="00EC3219"/>
    <w:rsid w:val="00ED033F"/>
    <w:rsid w:val="00EE28A1"/>
    <w:rsid w:val="00EF66CC"/>
    <w:rsid w:val="00F032E1"/>
    <w:rsid w:val="00F04B4B"/>
    <w:rsid w:val="00F068D5"/>
    <w:rsid w:val="00F1057C"/>
    <w:rsid w:val="00F13719"/>
    <w:rsid w:val="00F145AE"/>
    <w:rsid w:val="00F15F90"/>
    <w:rsid w:val="00F16309"/>
    <w:rsid w:val="00F50488"/>
    <w:rsid w:val="00F53A77"/>
    <w:rsid w:val="00F5456C"/>
    <w:rsid w:val="00F563FA"/>
    <w:rsid w:val="00F57541"/>
    <w:rsid w:val="00F664BF"/>
    <w:rsid w:val="00F70499"/>
    <w:rsid w:val="00F70895"/>
    <w:rsid w:val="00F729A1"/>
    <w:rsid w:val="00F84281"/>
    <w:rsid w:val="00F9163F"/>
    <w:rsid w:val="00F961F0"/>
    <w:rsid w:val="00F97F3F"/>
    <w:rsid w:val="00FA5D14"/>
    <w:rsid w:val="00FA61F5"/>
    <w:rsid w:val="00FB2E53"/>
    <w:rsid w:val="00FD1AFC"/>
    <w:rsid w:val="00FD4324"/>
    <w:rsid w:val="00FD45B5"/>
    <w:rsid w:val="00FE7BF6"/>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B8EEA9"/>
  <w15:docId w15:val="{462E759D-414C-42D4-B23E-2A953890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45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45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6621"/>
    <w:rPr>
      <w:sz w:val="16"/>
      <w:szCs w:val="16"/>
    </w:rPr>
  </w:style>
  <w:style w:type="paragraph" w:styleId="CommentText">
    <w:name w:val="annotation text"/>
    <w:basedOn w:val="Normal"/>
    <w:link w:val="CommentTextChar"/>
    <w:uiPriority w:val="99"/>
    <w:semiHidden/>
    <w:unhideWhenUsed/>
    <w:rsid w:val="00E76621"/>
    <w:rPr>
      <w:sz w:val="20"/>
      <w:szCs w:val="20"/>
    </w:rPr>
  </w:style>
  <w:style w:type="character" w:customStyle="1" w:styleId="CommentTextChar">
    <w:name w:val="Comment Text Char"/>
    <w:basedOn w:val="DefaultParagraphFont"/>
    <w:link w:val="CommentText"/>
    <w:uiPriority w:val="99"/>
    <w:semiHidden/>
    <w:rsid w:val="00E76621"/>
    <w:rPr>
      <w:sz w:val="20"/>
      <w:szCs w:val="20"/>
    </w:rPr>
  </w:style>
  <w:style w:type="paragraph" w:styleId="CommentSubject">
    <w:name w:val="annotation subject"/>
    <w:basedOn w:val="CommentText"/>
    <w:next w:val="CommentText"/>
    <w:link w:val="CommentSubjectChar"/>
    <w:uiPriority w:val="99"/>
    <w:semiHidden/>
    <w:unhideWhenUsed/>
    <w:rsid w:val="00E76621"/>
    <w:rPr>
      <w:b/>
      <w:bCs/>
    </w:rPr>
  </w:style>
  <w:style w:type="character" w:customStyle="1" w:styleId="CommentSubjectChar">
    <w:name w:val="Comment Subject Char"/>
    <w:basedOn w:val="CommentTextChar"/>
    <w:link w:val="CommentSubject"/>
    <w:uiPriority w:val="99"/>
    <w:semiHidden/>
    <w:rsid w:val="00E76621"/>
    <w:rPr>
      <w:b/>
      <w:bCs/>
      <w:sz w:val="20"/>
      <w:szCs w:val="20"/>
    </w:rPr>
  </w:style>
  <w:style w:type="paragraph" w:styleId="Revision">
    <w:name w:val="Revision"/>
    <w:hidden/>
    <w:uiPriority w:val="99"/>
    <w:semiHidden/>
    <w:rsid w:val="00E76621"/>
  </w:style>
  <w:style w:type="paragraph" w:styleId="ListParagraph">
    <w:name w:val="List Paragraph"/>
    <w:basedOn w:val="Normal"/>
    <w:uiPriority w:val="34"/>
    <w:qFormat/>
    <w:rsid w:val="008714C8"/>
    <w:pPr>
      <w:ind w:left="720"/>
      <w:contextualSpacing/>
    </w:pPr>
  </w:style>
  <w:style w:type="paragraph" w:styleId="Header">
    <w:name w:val="header"/>
    <w:basedOn w:val="Normal"/>
    <w:link w:val="HeaderChar"/>
    <w:uiPriority w:val="99"/>
    <w:unhideWhenUsed/>
    <w:rsid w:val="00583EF3"/>
    <w:pPr>
      <w:tabs>
        <w:tab w:val="center" w:pos="4680"/>
        <w:tab w:val="right" w:pos="9360"/>
      </w:tabs>
    </w:pPr>
  </w:style>
  <w:style w:type="character" w:customStyle="1" w:styleId="HeaderChar">
    <w:name w:val="Header Char"/>
    <w:basedOn w:val="DefaultParagraphFont"/>
    <w:link w:val="Header"/>
    <w:uiPriority w:val="99"/>
    <w:rsid w:val="00583EF3"/>
  </w:style>
  <w:style w:type="paragraph" w:styleId="Footer">
    <w:name w:val="footer"/>
    <w:basedOn w:val="Normal"/>
    <w:link w:val="FooterChar"/>
    <w:uiPriority w:val="99"/>
    <w:unhideWhenUsed/>
    <w:rsid w:val="00583EF3"/>
    <w:pPr>
      <w:tabs>
        <w:tab w:val="center" w:pos="4680"/>
        <w:tab w:val="right" w:pos="9360"/>
      </w:tabs>
    </w:pPr>
  </w:style>
  <w:style w:type="character" w:customStyle="1" w:styleId="FooterChar">
    <w:name w:val="Footer Char"/>
    <w:basedOn w:val="DefaultParagraphFont"/>
    <w:link w:val="Footer"/>
    <w:uiPriority w:val="99"/>
    <w:rsid w:val="00583EF3"/>
  </w:style>
  <w:style w:type="paragraph" w:customStyle="1" w:styleId="DHPDraftGraphic">
    <w:name w:val="DHP Draft Graphic"/>
    <w:basedOn w:val="Normal"/>
    <w:next w:val="Normal"/>
    <w:qFormat/>
    <w:rsid w:val="00583EF3"/>
    <w:pPr>
      <w:jc w:val="both"/>
    </w:pPr>
    <w:rPr>
      <w:rFonts w:ascii="Souvenir Lt BT" w:eastAsiaTheme="minorHAnsi" w:hAnsi="Souvenir Lt BT" w:cstheme="minorBidi"/>
      <w:noProof/>
      <w:sz w:val="4"/>
      <w:szCs w:val="4"/>
      <w:lang w:eastAsia="en-CA"/>
    </w:rPr>
  </w:style>
  <w:style w:type="paragraph" w:customStyle="1" w:styleId="DocsID">
    <w:name w:val="DocsID"/>
    <w:basedOn w:val="Normal"/>
    <w:rsid w:val="00E92320"/>
    <w:pPr>
      <w:spacing w:before="20"/>
    </w:pPr>
    <w:rPr>
      <w:rFonts w:ascii="Times New Roman" w:eastAsia="Times New Roman" w:hAnsi="Times New Roman" w:cs="Times New Roman"/>
      <w:color w:val="000080"/>
      <w:sz w:val="16"/>
      <w:szCs w:val="20"/>
    </w:rPr>
  </w:style>
  <w:style w:type="character" w:customStyle="1" w:styleId="Prompt">
    <w:name w:val="Prompt"/>
    <w:basedOn w:val="DefaultParagraphFont"/>
    <w:rsid w:val="000B1E47"/>
    <w:rPr>
      <w:color w:val="0000FF"/>
    </w:rPr>
  </w:style>
  <w:style w:type="paragraph" w:customStyle="1" w:styleId="TMGenL1">
    <w:name w:val="TMGen L1"/>
    <w:basedOn w:val="Normal"/>
    <w:rsid w:val="00603FD3"/>
    <w:pPr>
      <w:numPr>
        <w:numId w:val="16"/>
      </w:numPr>
      <w:jc w:val="both"/>
      <w:outlineLvl w:val="0"/>
    </w:pPr>
  </w:style>
  <w:style w:type="paragraph" w:customStyle="1" w:styleId="TMGenL2">
    <w:name w:val="TMGen L2"/>
    <w:basedOn w:val="Normal"/>
    <w:rsid w:val="00603FD3"/>
    <w:pPr>
      <w:numPr>
        <w:ilvl w:val="1"/>
        <w:numId w:val="16"/>
      </w:numPr>
      <w:jc w:val="both"/>
      <w:outlineLvl w:val="1"/>
    </w:pPr>
  </w:style>
  <w:style w:type="paragraph" w:customStyle="1" w:styleId="TMGenL3">
    <w:name w:val="TMGen L3"/>
    <w:basedOn w:val="Normal"/>
    <w:rsid w:val="00603FD3"/>
    <w:pPr>
      <w:numPr>
        <w:ilvl w:val="2"/>
        <w:numId w:val="16"/>
      </w:numPr>
      <w:jc w:val="both"/>
      <w:outlineLvl w:val="2"/>
    </w:pPr>
  </w:style>
  <w:style w:type="paragraph" w:customStyle="1" w:styleId="TMGenL4">
    <w:name w:val="TMGen L4"/>
    <w:basedOn w:val="Normal"/>
    <w:rsid w:val="00603FD3"/>
    <w:pPr>
      <w:numPr>
        <w:ilvl w:val="3"/>
        <w:numId w:val="16"/>
      </w:numPr>
      <w:jc w:val="both"/>
      <w:outlineLvl w:val="3"/>
    </w:pPr>
  </w:style>
  <w:style w:type="paragraph" w:customStyle="1" w:styleId="TMGenL5">
    <w:name w:val="TMGen L5"/>
    <w:basedOn w:val="Normal"/>
    <w:rsid w:val="00603FD3"/>
    <w:pPr>
      <w:numPr>
        <w:ilvl w:val="4"/>
        <w:numId w:val="16"/>
      </w:numPr>
      <w:jc w:val="both"/>
    </w:pPr>
  </w:style>
  <w:style w:type="paragraph" w:customStyle="1" w:styleId="TMGenL6">
    <w:name w:val="TMGen L6"/>
    <w:basedOn w:val="Normal"/>
    <w:rsid w:val="00603FD3"/>
    <w:pPr>
      <w:numPr>
        <w:ilvl w:val="5"/>
        <w:numId w:val="16"/>
      </w:numPr>
      <w:jc w:val="both"/>
    </w:pPr>
  </w:style>
  <w:style w:type="paragraph" w:customStyle="1" w:styleId="TMGenL7">
    <w:name w:val="TMGen L7"/>
    <w:basedOn w:val="Normal"/>
    <w:rsid w:val="00603FD3"/>
    <w:pPr>
      <w:numPr>
        <w:ilvl w:val="6"/>
        <w:numId w:val="16"/>
      </w:numPr>
      <w:jc w:val="both"/>
    </w:pPr>
  </w:style>
  <w:style w:type="paragraph" w:customStyle="1" w:styleId="TMGenL8">
    <w:name w:val="TMGen L8"/>
    <w:basedOn w:val="Normal"/>
    <w:rsid w:val="00603FD3"/>
    <w:pPr>
      <w:numPr>
        <w:ilvl w:val="7"/>
        <w:numId w:val="16"/>
      </w:numPr>
      <w:jc w:val="both"/>
    </w:pPr>
  </w:style>
  <w:style w:type="paragraph" w:customStyle="1" w:styleId="TMGenL9">
    <w:name w:val="TMGen L9"/>
    <w:basedOn w:val="Normal"/>
    <w:rsid w:val="00603FD3"/>
    <w:pPr>
      <w:numPr>
        <w:ilvl w:val="8"/>
        <w:numId w:val="16"/>
      </w:numPr>
      <w:jc w:val="both"/>
    </w:pPr>
  </w:style>
  <w:style w:type="paragraph" w:customStyle="1" w:styleId="TMGenNoL1">
    <w:name w:val="TMGen No#L1"/>
    <w:basedOn w:val="Normal"/>
    <w:rsid w:val="00603FD3"/>
    <w:pPr>
      <w:ind w:left="720"/>
      <w:jc w:val="both"/>
    </w:pPr>
  </w:style>
  <w:style w:type="paragraph" w:customStyle="1" w:styleId="TMGenNoL2">
    <w:name w:val="TMGen No#L2"/>
    <w:basedOn w:val="Normal"/>
    <w:rsid w:val="00603FD3"/>
    <w:pPr>
      <w:ind w:left="1440"/>
      <w:jc w:val="both"/>
    </w:pPr>
  </w:style>
  <w:style w:type="paragraph" w:customStyle="1" w:styleId="TMGenNoL3">
    <w:name w:val="TMGen No#L3"/>
    <w:basedOn w:val="Normal"/>
    <w:rsid w:val="00603FD3"/>
    <w:pPr>
      <w:ind w:left="2160"/>
      <w:jc w:val="both"/>
    </w:pPr>
  </w:style>
  <w:style w:type="paragraph" w:customStyle="1" w:styleId="TMGenNoL4">
    <w:name w:val="TMGen No#L4"/>
    <w:basedOn w:val="Normal"/>
    <w:rsid w:val="00603FD3"/>
    <w:pPr>
      <w:ind w:left="2880"/>
      <w:jc w:val="both"/>
    </w:pPr>
  </w:style>
  <w:style w:type="paragraph" w:customStyle="1" w:styleId="TMGenNoL5">
    <w:name w:val="TMGen No#L5"/>
    <w:basedOn w:val="Normal"/>
    <w:rsid w:val="00603FD3"/>
    <w:pPr>
      <w:ind w:left="3600"/>
      <w:jc w:val="both"/>
    </w:pPr>
  </w:style>
  <w:style w:type="paragraph" w:customStyle="1" w:styleId="TMGenNoL6">
    <w:name w:val="TMGen No#L6"/>
    <w:basedOn w:val="Normal"/>
    <w:rsid w:val="00603FD3"/>
    <w:pPr>
      <w:ind w:left="4320"/>
      <w:jc w:val="both"/>
    </w:pPr>
  </w:style>
  <w:style w:type="paragraph" w:customStyle="1" w:styleId="TMGenNoL7">
    <w:name w:val="TMGen No#L7"/>
    <w:basedOn w:val="Normal"/>
    <w:rsid w:val="00603FD3"/>
    <w:pPr>
      <w:ind w:left="5040"/>
      <w:jc w:val="both"/>
    </w:pPr>
  </w:style>
  <w:style w:type="paragraph" w:customStyle="1" w:styleId="TMGenNoL8">
    <w:name w:val="TMGen No#L8"/>
    <w:basedOn w:val="Normal"/>
    <w:rsid w:val="00603FD3"/>
    <w:pPr>
      <w:ind w:left="5760"/>
      <w:jc w:val="both"/>
    </w:pPr>
  </w:style>
  <w:style w:type="paragraph" w:customStyle="1" w:styleId="TMGenNoL9">
    <w:name w:val="TMGen No#L9"/>
    <w:basedOn w:val="Normal"/>
    <w:rsid w:val="00603FD3"/>
    <w:pPr>
      <w:ind w:left="6480"/>
      <w:jc w:val="both"/>
    </w:pPr>
  </w:style>
  <w:style w:type="numbering" w:customStyle="1" w:styleId="TMGenList">
    <w:name w:val="TMGen List"/>
    <w:basedOn w:val="NoList"/>
    <w:rsid w:val="00603FD3"/>
    <w:pPr>
      <w:numPr>
        <w:numId w:val="17"/>
      </w:numPr>
    </w:pPr>
  </w:style>
  <w:style w:type="paragraph" w:customStyle="1" w:styleId="TMIndent">
    <w:name w:val="TMIndent"/>
    <w:aliases w:val="In"/>
    <w:basedOn w:val="Normal"/>
    <w:rsid w:val="00951EE7"/>
    <w:pPr>
      <w:spacing w:after="240"/>
      <w:ind w:left="720"/>
      <w:jc w:val="both"/>
    </w:pPr>
    <w:rPr>
      <w:rFonts w:ascii="Times New Roman" w:eastAsia="Times New Roman" w:hAnsi="Times New Roman" w:cs="Times New Roman"/>
      <w:szCs w:val="20"/>
    </w:rPr>
  </w:style>
  <w:style w:type="paragraph" w:customStyle="1" w:styleId="TMArtML1">
    <w:name w:val="TMArtM L1"/>
    <w:aliases w:val="M1"/>
    <w:basedOn w:val="Normal"/>
    <w:next w:val="TMArtML2"/>
    <w:rsid w:val="00951EE7"/>
    <w:pPr>
      <w:keepNext/>
      <w:keepLines/>
      <w:numPr>
        <w:numId w:val="26"/>
      </w:numPr>
      <w:spacing w:before="120" w:after="240"/>
      <w:jc w:val="both"/>
      <w:outlineLvl w:val="0"/>
    </w:pPr>
    <w:rPr>
      <w:rFonts w:ascii="Times New Roman" w:eastAsia="Times New Roman" w:hAnsi="Times New Roman" w:cs="Times New Roman"/>
      <w:b/>
    </w:rPr>
  </w:style>
  <w:style w:type="paragraph" w:customStyle="1" w:styleId="TMArtML2">
    <w:name w:val="TMArtM L2"/>
    <w:aliases w:val="M2"/>
    <w:basedOn w:val="Normal"/>
    <w:rsid w:val="00951EE7"/>
    <w:pPr>
      <w:numPr>
        <w:ilvl w:val="1"/>
        <w:numId w:val="26"/>
      </w:numPr>
      <w:spacing w:after="240"/>
      <w:jc w:val="both"/>
      <w:outlineLvl w:val="1"/>
    </w:pPr>
    <w:rPr>
      <w:rFonts w:ascii="Times New Roman" w:eastAsia="Times New Roman" w:hAnsi="Times New Roman" w:cs="Times New Roman"/>
      <w:b/>
      <w:color w:val="000000"/>
    </w:rPr>
  </w:style>
  <w:style w:type="paragraph" w:customStyle="1" w:styleId="TMArtML3">
    <w:name w:val="TMArtM L3"/>
    <w:aliases w:val="M3"/>
    <w:basedOn w:val="Normal"/>
    <w:link w:val="TMArtML3Char"/>
    <w:rsid w:val="00951EE7"/>
    <w:pPr>
      <w:numPr>
        <w:ilvl w:val="2"/>
        <w:numId w:val="26"/>
      </w:numPr>
      <w:spacing w:after="240"/>
      <w:jc w:val="both"/>
      <w:outlineLvl w:val="2"/>
    </w:pPr>
    <w:rPr>
      <w:rFonts w:ascii="Times New Roman" w:eastAsia="Times New Roman" w:hAnsi="Times New Roman" w:cs="Times New Roman"/>
    </w:rPr>
  </w:style>
  <w:style w:type="paragraph" w:customStyle="1" w:styleId="TMArtML4">
    <w:name w:val="TMArtM L4"/>
    <w:aliases w:val="M4"/>
    <w:basedOn w:val="Normal"/>
    <w:rsid w:val="00951EE7"/>
    <w:pPr>
      <w:numPr>
        <w:ilvl w:val="3"/>
        <w:numId w:val="26"/>
      </w:numPr>
      <w:tabs>
        <w:tab w:val="clear" w:pos="1782"/>
        <w:tab w:val="num" w:pos="2160"/>
      </w:tabs>
      <w:spacing w:after="240"/>
      <w:ind w:left="2160"/>
      <w:jc w:val="both"/>
      <w:outlineLvl w:val="3"/>
    </w:pPr>
    <w:rPr>
      <w:rFonts w:ascii="Times New Roman" w:eastAsia="Times New Roman" w:hAnsi="Times New Roman" w:cs="Times New Roman"/>
    </w:rPr>
  </w:style>
  <w:style w:type="paragraph" w:customStyle="1" w:styleId="TMArtML5">
    <w:name w:val="TMArtM L5"/>
    <w:aliases w:val="M5"/>
    <w:basedOn w:val="Normal"/>
    <w:rsid w:val="00951EE7"/>
    <w:pPr>
      <w:numPr>
        <w:ilvl w:val="4"/>
        <w:numId w:val="26"/>
      </w:numPr>
      <w:spacing w:after="240"/>
      <w:jc w:val="both"/>
    </w:pPr>
    <w:rPr>
      <w:rFonts w:ascii="Times New Roman" w:eastAsia="Times New Roman" w:hAnsi="Times New Roman" w:cs="Times New Roman"/>
    </w:rPr>
  </w:style>
  <w:style w:type="paragraph" w:customStyle="1" w:styleId="TMArtML6">
    <w:name w:val="TMArtM L6"/>
    <w:aliases w:val="M6"/>
    <w:basedOn w:val="Normal"/>
    <w:rsid w:val="00951EE7"/>
    <w:pPr>
      <w:numPr>
        <w:ilvl w:val="5"/>
        <w:numId w:val="26"/>
      </w:numPr>
      <w:spacing w:after="240"/>
      <w:jc w:val="both"/>
    </w:pPr>
    <w:rPr>
      <w:rFonts w:ascii="Times New Roman" w:eastAsia="Times New Roman" w:hAnsi="Times New Roman" w:cs="Times New Roman"/>
    </w:rPr>
  </w:style>
  <w:style w:type="paragraph" w:customStyle="1" w:styleId="TMArtML7">
    <w:name w:val="TMArtM L7"/>
    <w:aliases w:val="M7"/>
    <w:basedOn w:val="Normal"/>
    <w:rsid w:val="00951EE7"/>
    <w:pPr>
      <w:numPr>
        <w:ilvl w:val="6"/>
        <w:numId w:val="26"/>
      </w:numPr>
      <w:spacing w:after="240"/>
      <w:jc w:val="both"/>
    </w:pPr>
    <w:rPr>
      <w:rFonts w:ascii="Times New Roman" w:eastAsia="Times New Roman" w:hAnsi="Times New Roman" w:cs="Times New Roman"/>
    </w:rPr>
  </w:style>
  <w:style w:type="paragraph" w:customStyle="1" w:styleId="TMArtML8">
    <w:name w:val="TMArtM L8"/>
    <w:aliases w:val="M8"/>
    <w:basedOn w:val="Normal"/>
    <w:rsid w:val="00951EE7"/>
    <w:pPr>
      <w:numPr>
        <w:ilvl w:val="7"/>
        <w:numId w:val="26"/>
      </w:numPr>
      <w:spacing w:after="240"/>
      <w:jc w:val="both"/>
    </w:pPr>
    <w:rPr>
      <w:rFonts w:ascii="Times New Roman" w:eastAsia="Times New Roman" w:hAnsi="Times New Roman" w:cs="Times New Roman"/>
    </w:rPr>
  </w:style>
  <w:style w:type="paragraph" w:customStyle="1" w:styleId="TMArtML9">
    <w:name w:val="TMArtM L9"/>
    <w:aliases w:val="M9"/>
    <w:basedOn w:val="Normal"/>
    <w:rsid w:val="00951EE7"/>
    <w:pPr>
      <w:numPr>
        <w:ilvl w:val="8"/>
        <w:numId w:val="26"/>
      </w:numPr>
      <w:spacing w:after="240"/>
      <w:jc w:val="both"/>
    </w:pPr>
    <w:rPr>
      <w:rFonts w:ascii="Times New Roman" w:eastAsia="Times New Roman" w:hAnsi="Times New Roman" w:cs="Times New Roman"/>
    </w:rPr>
  </w:style>
  <w:style w:type="numbering" w:customStyle="1" w:styleId="TMArtMList">
    <w:name w:val="TMArtM List"/>
    <w:basedOn w:val="NoList"/>
    <w:rsid w:val="00951EE7"/>
    <w:pPr>
      <w:numPr>
        <w:numId w:val="26"/>
      </w:numPr>
    </w:pPr>
  </w:style>
  <w:style w:type="character" w:customStyle="1" w:styleId="TMArtML3Char">
    <w:name w:val="TMArtM L3 Char"/>
    <w:aliases w:val="M3 Char"/>
    <w:link w:val="TMArtML3"/>
    <w:rsid w:val="00951EE7"/>
    <w:rPr>
      <w:rFonts w:ascii="Times New Roman" w:eastAsia="Times New Roman" w:hAnsi="Times New Roman" w:cs="Times New Roman"/>
    </w:rPr>
  </w:style>
  <w:style w:type="paragraph" w:customStyle="1" w:styleId="m2797156088635641194m-4943285452287628326m3188237799578363943m8526314818720739498m-5497934892091970749m1406793023217244481m-6583191260445178665msolistparagraph">
    <w:name w:val="m_2797156088635641194m-4943285452287628326m3188237799578363943m8526314818720739498m-5497934892091970749m1406793023217244481m-6583191260445178665msolistparagraph"/>
    <w:basedOn w:val="Normal"/>
    <w:rsid w:val="00A85AB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C60B50"/>
    <w:rPr>
      <w:b/>
      <w:bCs/>
    </w:rPr>
  </w:style>
  <w:style w:type="character" w:styleId="Hyperlink">
    <w:name w:val="Hyperlink"/>
    <w:basedOn w:val="DefaultParagraphFont"/>
    <w:uiPriority w:val="99"/>
    <w:unhideWhenUsed/>
    <w:rsid w:val="00A322FD"/>
    <w:rPr>
      <w:color w:val="0000FF" w:themeColor="hyperlink"/>
      <w:u w:val="single"/>
    </w:rPr>
  </w:style>
  <w:style w:type="character" w:styleId="UnresolvedMention">
    <w:name w:val="Unresolved Mention"/>
    <w:basedOn w:val="DefaultParagraphFont"/>
    <w:uiPriority w:val="99"/>
    <w:semiHidden/>
    <w:unhideWhenUsed/>
    <w:rsid w:val="00A3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40050">
      <w:bodyDiv w:val="1"/>
      <w:marLeft w:val="0"/>
      <w:marRight w:val="0"/>
      <w:marTop w:val="0"/>
      <w:marBottom w:val="0"/>
      <w:divBdr>
        <w:top w:val="none" w:sz="0" w:space="0" w:color="auto"/>
        <w:left w:val="none" w:sz="0" w:space="0" w:color="auto"/>
        <w:bottom w:val="none" w:sz="0" w:space="0" w:color="auto"/>
        <w:right w:val="none" w:sz="0" w:space="0" w:color="auto"/>
      </w:divBdr>
    </w:div>
    <w:div w:id="1123499492">
      <w:bodyDiv w:val="1"/>
      <w:marLeft w:val="0"/>
      <w:marRight w:val="0"/>
      <w:marTop w:val="0"/>
      <w:marBottom w:val="0"/>
      <w:divBdr>
        <w:top w:val="none" w:sz="0" w:space="0" w:color="auto"/>
        <w:left w:val="none" w:sz="0" w:space="0" w:color="auto"/>
        <w:bottom w:val="none" w:sz="0" w:space="0" w:color="auto"/>
        <w:right w:val="none" w:sz="0" w:space="0" w:color="auto"/>
      </w:divBdr>
    </w:div>
    <w:div w:id="1310162312">
      <w:bodyDiv w:val="1"/>
      <w:marLeft w:val="0"/>
      <w:marRight w:val="0"/>
      <w:marTop w:val="0"/>
      <w:marBottom w:val="0"/>
      <w:divBdr>
        <w:top w:val="none" w:sz="0" w:space="0" w:color="auto"/>
        <w:left w:val="none" w:sz="0" w:space="0" w:color="auto"/>
        <w:bottom w:val="none" w:sz="0" w:space="0" w:color="auto"/>
        <w:right w:val="none" w:sz="0" w:space="0" w:color="auto"/>
      </w:divBdr>
    </w:div>
    <w:div w:id="1416852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r.conduc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C539-9D56-AF45-8A4A-241BD968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2288</Words>
  <Characters>13042</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Hurley, Prof.</dc:creator>
  <cp:lastModifiedBy>Erin Hurley, Prof.</cp:lastModifiedBy>
  <cp:revision>196</cp:revision>
  <dcterms:created xsi:type="dcterms:W3CDTF">2020-03-11T21:00:00Z</dcterms:created>
  <dcterms:modified xsi:type="dcterms:W3CDTF">2020-03-21T14:44:00Z</dcterms:modified>
</cp:coreProperties>
</file>